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6B75F8" w14:textId="137DFF17" w:rsidR="003E66C3" w:rsidRPr="009313C9" w:rsidRDefault="003E66C3">
      <w:pPr>
        <w:rPr>
          <w:rFonts w:ascii="Times New Roman" w:hAnsi="Times New Roman" w:cs="Times New Roman"/>
          <w:bCs/>
          <w:sz w:val="24"/>
          <w:szCs w:val="24"/>
        </w:rPr>
      </w:pPr>
      <w:r w:rsidRPr="009313C9">
        <w:rPr>
          <w:rFonts w:ascii="Times New Roman" w:hAnsi="Times New Roman" w:cs="Times New Roman"/>
          <w:bCs/>
          <w:sz w:val="24"/>
          <w:szCs w:val="24"/>
        </w:rPr>
        <w:t>Renee Malove</w:t>
      </w:r>
    </w:p>
    <w:p w14:paraId="2D3D5B78" w14:textId="4F3364A8" w:rsidR="00B13647" w:rsidRPr="009313C9" w:rsidRDefault="00701D6B">
      <w:pPr>
        <w:rPr>
          <w:rFonts w:ascii="Times New Roman" w:hAnsi="Times New Roman" w:cs="Times New Roman"/>
          <w:bCs/>
          <w:sz w:val="24"/>
          <w:szCs w:val="24"/>
        </w:rPr>
      </w:pPr>
      <w:r w:rsidRPr="009313C9">
        <w:rPr>
          <w:rFonts w:ascii="Times New Roman" w:hAnsi="Times New Roman" w:cs="Times New Roman"/>
          <w:bCs/>
          <w:sz w:val="24"/>
          <w:szCs w:val="24"/>
        </w:rPr>
        <w:t>Case Study:</w:t>
      </w:r>
      <w:r w:rsidR="00BD18D1" w:rsidRPr="009313C9">
        <w:rPr>
          <w:rFonts w:ascii="Times New Roman" w:hAnsi="Times New Roman" w:cs="Times New Roman"/>
          <w:bCs/>
          <w:sz w:val="24"/>
          <w:szCs w:val="24"/>
        </w:rPr>
        <w:t xml:space="preserve"> </w:t>
      </w:r>
      <w:r w:rsidR="007559CD">
        <w:rPr>
          <w:rFonts w:ascii="Times New Roman" w:hAnsi="Times New Roman" w:cs="Times New Roman"/>
          <w:bCs/>
          <w:sz w:val="24"/>
          <w:szCs w:val="24"/>
        </w:rPr>
        <w:t>CHF</w:t>
      </w:r>
      <w:r w:rsidR="00021FB7" w:rsidRPr="009313C9">
        <w:rPr>
          <w:rFonts w:ascii="Times New Roman" w:hAnsi="Times New Roman" w:cs="Times New Roman"/>
          <w:bCs/>
          <w:sz w:val="24"/>
          <w:szCs w:val="24"/>
        </w:rPr>
        <w:t xml:space="preserve"> </w:t>
      </w:r>
    </w:p>
    <w:p w14:paraId="7D78894E" w14:textId="77777777" w:rsidR="00701D6B" w:rsidRPr="009313C9" w:rsidRDefault="00701D6B">
      <w:pPr>
        <w:rPr>
          <w:rFonts w:ascii="Times New Roman" w:hAnsi="Times New Roman" w:cs="Times New Roman"/>
          <w:bCs/>
          <w:sz w:val="24"/>
          <w:szCs w:val="24"/>
        </w:rPr>
      </w:pPr>
    </w:p>
    <w:tbl>
      <w:tblPr>
        <w:tblStyle w:val="TableGrid"/>
        <w:tblW w:w="9985" w:type="dxa"/>
        <w:tblLook w:val="04A0" w:firstRow="1" w:lastRow="0" w:firstColumn="1" w:lastColumn="0" w:noHBand="0" w:noVBand="1"/>
      </w:tblPr>
      <w:tblGrid>
        <w:gridCol w:w="265"/>
        <w:gridCol w:w="2670"/>
        <w:gridCol w:w="7050"/>
      </w:tblGrid>
      <w:tr w:rsidR="004D1F76" w:rsidRPr="009313C9" w14:paraId="145E8CA1" w14:textId="77777777" w:rsidTr="00701D6B">
        <w:tc>
          <w:tcPr>
            <w:tcW w:w="2935" w:type="dxa"/>
            <w:gridSpan w:val="2"/>
          </w:tcPr>
          <w:p w14:paraId="14386522" w14:textId="77777777" w:rsidR="007830E8" w:rsidRPr="009313C9" w:rsidRDefault="007830E8" w:rsidP="00701D6B">
            <w:pPr>
              <w:rPr>
                <w:rFonts w:ascii="Times New Roman" w:hAnsi="Times New Roman" w:cs="Times New Roman"/>
                <w:bCs/>
                <w:i/>
                <w:sz w:val="24"/>
                <w:szCs w:val="24"/>
              </w:rPr>
            </w:pPr>
            <w:r w:rsidRPr="009313C9">
              <w:rPr>
                <w:rFonts w:ascii="Times New Roman" w:hAnsi="Times New Roman" w:cs="Times New Roman"/>
                <w:bCs/>
                <w:i/>
                <w:sz w:val="24"/>
                <w:szCs w:val="24"/>
              </w:rPr>
              <w:t>Mnemonic Components</w:t>
            </w:r>
          </w:p>
          <w:p w14:paraId="528C7D20" w14:textId="77777777" w:rsidR="00701D6B" w:rsidRPr="009313C9" w:rsidRDefault="00701D6B" w:rsidP="00701D6B">
            <w:pPr>
              <w:rPr>
                <w:rFonts w:ascii="Times New Roman" w:hAnsi="Times New Roman" w:cs="Times New Roman"/>
                <w:bCs/>
                <w:sz w:val="24"/>
                <w:szCs w:val="24"/>
              </w:rPr>
            </w:pPr>
            <w:r w:rsidRPr="009313C9">
              <w:rPr>
                <w:rFonts w:ascii="Times New Roman" w:hAnsi="Times New Roman" w:cs="Times New Roman"/>
                <w:bCs/>
                <w:sz w:val="24"/>
                <w:szCs w:val="24"/>
              </w:rPr>
              <w:t xml:space="preserve">I Can </w:t>
            </w:r>
            <w:proofErr w:type="spellStart"/>
            <w:r w:rsidRPr="009313C9">
              <w:rPr>
                <w:rFonts w:ascii="Times New Roman" w:hAnsi="Times New Roman" w:cs="Times New Roman"/>
                <w:bCs/>
                <w:sz w:val="24"/>
                <w:szCs w:val="24"/>
              </w:rPr>
              <w:t>PresCribE</w:t>
            </w:r>
            <w:proofErr w:type="spellEnd"/>
            <w:r w:rsidRPr="009313C9">
              <w:rPr>
                <w:rFonts w:ascii="Times New Roman" w:hAnsi="Times New Roman" w:cs="Times New Roman"/>
                <w:bCs/>
                <w:sz w:val="24"/>
                <w:szCs w:val="24"/>
              </w:rPr>
              <w:t xml:space="preserve"> A Drug</w:t>
            </w:r>
          </w:p>
        </w:tc>
        <w:tc>
          <w:tcPr>
            <w:tcW w:w="7050" w:type="dxa"/>
          </w:tcPr>
          <w:p w14:paraId="72A9222B" w14:textId="77777777" w:rsidR="004D1F76" w:rsidRPr="009313C9" w:rsidRDefault="007830E8">
            <w:pPr>
              <w:rPr>
                <w:rFonts w:ascii="Times New Roman" w:hAnsi="Times New Roman" w:cs="Times New Roman"/>
                <w:bCs/>
                <w:i/>
                <w:sz w:val="24"/>
                <w:szCs w:val="24"/>
              </w:rPr>
            </w:pPr>
            <w:r w:rsidRPr="009313C9">
              <w:rPr>
                <w:rFonts w:ascii="Times New Roman" w:hAnsi="Times New Roman" w:cs="Times New Roman"/>
                <w:bCs/>
                <w:i/>
                <w:sz w:val="24"/>
                <w:szCs w:val="24"/>
              </w:rPr>
              <w:t xml:space="preserve">Case Example </w:t>
            </w:r>
          </w:p>
          <w:p w14:paraId="5D90BAE3" w14:textId="77777777" w:rsidR="007830E8" w:rsidRPr="009313C9" w:rsidRDefault="007830E8">
            <w:pPr>
              <w:rPr>
                <w:rFonts w:ascii="Times New Roman" w:hAnsi="Times New Roman" w:cs="Times New Roman"/>
                <w:bCs/>
                <w:sz w:val="24"/>
                <w:szCs w:val="24"/>
              </w:rPr>
            </w:pPr>
            <w:r w:rsidRPr="009313C9">
              <w:rPr>
                <w:rFonts w:ascii="Times New Roman" w:hAnsi="Times New Roman" w:cs="Times New Roman"/>
                <w:bCs/>
                <w:i/>
                <w:sz w:val="24"/>
                <w:szCs w:val="24"/>
              </w:rPr>
              <w:t>Description</w:t>
            </w:r>
          </w:p>
        </w:tc>
      </w:tr>
      <w:tr w:rsidR="004D1F76" w:rsidRPr="009313C9" w14:paraId="0ADB61DD" w14:textId="77777777" w:rsidTr="00187C4D">
        <w:trPr>
          <w:trHeight w:val="1790"/>
        </w:trPr>
        <w:tc>
          <w:tcPr>
            <w:tcW w:w="265" w:type="dxa"/>
          </w:tcPr>
          <w:p w14:paraId="0A45C120" w14:textId="77777777" w:rsidR="004D1F76" w:rsidRPr="009313C9" w:rsidRDefault="004D1F76" w:rsidP="007830E8">
            <w:pPr>
              <w:rPr>
                <w:rFonts w:ascii="Times New Roman" w:hAnsi="Times New Roman" w:cs="Times New Roman"/>
                <w:bCs/>
                <w:sz w:val="24"/>
                <w:szCs w:val="24"/>
              </w:rPr>
            </w:pPr>
          </w:p>
        </w:tc>
        <w:tc>
          <w:tcPr>
            <w:tcW w:w="2670" w:type="dxa"/>
          </w:tcPr>
          <w:p w14:paraId="310EAACA" w14:textId="77777777" w:rsidR="004D1F76" w:rsidRPr="009313C9" w:rsidRDefault="007830E8" w:rsidP="007830E8">
            <w:pPr>
              <w:rPr>
                <w:rFonts w:ascii="Times New Roman" w:hAnsi="Times New Roman" w:cs="Times New Roman"/>
                <w:bCs/>
                <w:sz w:val="24"/>
                <w:szCs w:val="24"/>
              </w:rPr>
            </w:pPr>
            <w:r w:rsidRPr="009313C9">
              <w:rPr>
                <w:rFonts w:ascii="Times New Roman" w:hAnsi="Times New Roman" w:cs="Times New Roman"/>
                <w:bCs/>
                <w:sz w:val="24"/>
                <w:szCs w:val="24"/>
              </w:rPr>
              <w:t>Indication</w:t>
            </w:r>
          </w:p>
        </w:tc>
        <w:tc>
          <w:tcPr>
            <w:tcW w:w="7050" w:type="dxa"/>
          </w:tcPr>
          <w:p w14:paraId="0AB93C49" w14:textId="3D695CBE" w:rsidR="0024611C" w:rsidRDefault="00D47EEC" w:rsidP="00D47EEC">
            <w:pPr>
              <w:pStyle w:val="ListParagraph"/>
              <w:numPr>
                <w:ilvl w:val="0"/>
                <w:numId w:val="3"/>
              </w:numPr>
              <w:rPr>
                <w:rFonts w:ascii="Times New Roman" w:hAnsi="Times New Roman" w:cs="Times New Roman"/>
                <w:bCs/>
                <w:sz w:val="24"/>
                <w:szCs w:val="24"/>
              </w:rPr>
            </w:pPr>
            <w:r>
              <w:rPr>
                <w:rFonts w:ascii="Times New Roman" w:hAnsi="Times New Roman" w:cs="Times New Roman"/>
                <w:bCs/>
                <w:sz w:val="24"/>
                <w:szCs w:val="24"/>
              </w:rPr>
              <w:t xml:space="preserve">Pt presents today with complaint of increased SOB, </w:t>
            </w:r>
            <w:r w:rsidR="00327651">
              <w:rPr>
                <w:rFonts w:ascii="Times New Roman" w:hAnsi="Times New Roman" w:cs="Times New Roman"/>
                <w:bCs/>
                <w:sz w:val="24"/>
                <w:szCs w:val="24"/>
              </w:rPr>
              <w:t>decreased activity tolerance, BLE edema, and orthopnea</w:t>
            </w:r>
            <w:r w:rsidR="00030195">
              <w:rPr>
                <w:rFonts w:ascii="Times New Roman" w:hAnsi="Times New Roman" w:cs="Times New Roman"/>
                <w:bCs/>
                <w:sz w:val="24"/>
                <w:szCs w:val="24"/>
              </w:rPr>
              <w:t>,</w:t>
            </w:r>
            <w:r w:rsidR="00022452">
              <w:rPr>
                <w:rFonts w:ascii="Times New Roman" w:hAnsi="Times New Roman" w:cs="Times New Roman"/>
                <w:bCs/>
                <w:sz w:val="24"/>
                <w:szCs w:val="24"/>
              </w:rPr>
              <w:t xml:space="preserve"> no complaint of chest pain,</w:t>
            </w:r>
            <w:r w:rsidR="00030195">
              <w:rPr>
                <w:rFonts w:ascii="Times New Roman" w:hAnsi="Times New Roman" w:cs="Times New Roman"/>
                <w:bCs/>
                <w:sz w:val="24"/>
                <w:szCs w:val="24"/>
              </w:rPr>
              <w:t xml:space="preserve"> suggesting acute on chronic CHF exacerbation in the setting of known class II heart failure</w:t>
            </w:r>
            <w:r w:rsidR="00AC54EC">
              <w:rPr>
                <w:rFonts w:ascii="Times New Roman" w:hAnsi="Times New Roman" w:cs="Times New Roman"/>
                <w:bCs/>
                <w:sz w:val="24"/>
                <w:szCs w:val="24"/>
              </w:rPr>
              <w:t xml:space="preserve"> with reduced ejection fraction</w:t>
            </w:r>
            <w:r w:rsidR="00030195">
              <w:rPr>
                <w:rFonts w:ascii="Times New Roman" w:hAnsi="Times New Roman" w:cs="Times New Roman"/>
                <w:bCs/>
                <w:sz w:val="24"/>
                <w:szCs w:val="24"/>
              </w:rPr>
              <w:t xml:space="preserve">. </w:t>
            </w:r>
          </w:p>
          <w:p w14:paraId="2CB72E4A" w14:textId="4C81CD43" w:rsidR="00BB4D68" w:rsidRDefault="001D772D" w:rsidP="00D47EEC">
            <w:pPr>
              <w:pStyle w:val="ListParagraph"/>
              <w:numPr>
                <w:ilvl w:val="0"/>
                <w:numId w:val="3"/>
              </w:numPr>
              <w:rPr>
                <w:rFonts w:ascii="Times New Roman" w:hAnsi="Times New Roman" w:cs="Times New Roman"/>
                <w:bCs/>
                <w:sz w:val="24"/>
                <w:szCs w:val="24"/>
              </w:rPr>
            </w:pPr>
            <w:r>
              <w:rPr>
                <w:rFonts w:ascii="Times New Roman" w:hAnsi="Times New Roman" w:cs="Times New Roman"/>
                <w:bCs/>
                <w:sz w:val="24"/>
                <w:szCs w:val="24"/>
              </w:rPr>
              <w:t xml:space="preserve">Further assessment is required to determine adherence to medication and dietary guidelines. </w:t>
            </w:r>
          </w:p>
          <w:p w14:paraId="14F41482" w14:textId="2F1D356E" w:rsidR="00F215B9" w:rsidRDefault="000C04ED" w:rsidP="00D47EEC">
            <w:pPr>
              <w:pStyle w:val="ListParagraph"/>
              <w:numPr>
                <w:ilvl w:val="0"/>
                <w:numId w:val="3"/>
              </w:numPr>
              <w:rPr>
                <w:rFonts w:ascii="Times New Roman" w:hAnsi="Times New Roman" w:cs="Times New Roman"/>
                <w:bCs/>
                <w:sz w:val="24"/>
                <w:szCs w:val="24"/>
              </w:rPr>
            </w:pPr>
            <w:r>
              <w:rPr>
                <w:rFonts w:ascii="Times New Roman" w:hAnsi="Times New Roman" w:cs="Times New Roman"/>
                <w:bCs/>
                <w:sz w:val="24"/>
                <w:szCs w:val="24"/>
              </w:rPr>
              <w:t xml:space="preserve">The patient would benefit from an increased dosage of furosemide for </w:t>
            </w:r>
            <w:r w:rsidR="00A13C2F">
              <w:rPr>
                <w:rFonts w:ascii="Times New Roman" w:hAnsi="Times New Roman" w:cs="Times New Roman"/>
                <w:bCs/>
                <w:sz w:val="24"/>
                <w:szCs w:val="24"/>
              </w:rPr>
              <w:t xml:space="preserve">acute management and </w:t>
            </w:r>
            <w:r>
              <w:rPr>
                <w:rFonts w:ascii="Times New Roman" w:hAnsi="Times New Roman" w:cs="Times New Roman"/>
                <w:bCs/>
                <w:sz w:val="24"/>
                <w:szCs w:val="24"/>
              </w:rPr>
              <w:t>ongoing maintenance</w:t>
            </w:r>
            <w:r w:rsidR="004D102D">
              <w:rPr>
                <w:rFonts w:ascii="Times New Roman" w:hAnsi="Times New Roman" w:cs="Times New Roman"/>
                <w:bCs/>
                <w:sz w:val="24"/>
                <w:szCs w:val="24"/>
              </w:rPr>
              <w:t xml:space="preserve">. Recommend increasing patient to </w:t>
            </w:r>
            <w:r w:rsidR="00A13C2F">
              <w:rPr>
                <w:rFonts w:ascii="Times New Roman" w:hAnsi="Times New Roman" w:cs="Times New Roman"/>
                <w:bCs/>
                <w:sz w:val="24"/>
                <w:szCs w:val="24"/>
              </w:rPr>
              <w:t xml:space="preserve">40 mg daily, with follow up in a week (sooner if needed) to evaluate efficacy. </w:t>
            </w:r>
            <w:r w:rsidR="00702192">
              <w:rPr>
                <w:rFonts w:ascii="Times New Roman" w:hAnsi="Times New Roman" w:cs="Times New Roman"/>
                <w:bCs/>
                <w:sz w:val="24"/>
                <w:szCs w:val="24"/>
              </w:rPr>
              <w:t xml:space="preserve">If this dosage is not sufficient to resolve patient’s acute symptoms, recommend adding 20 mg once daily (40 mg in the am, 20 mg in the pm) until symptoms have resolved. </w:t>
            </w:r>
            <w:r w:rsidR="002B6A38">
              <w:rPr>
                <w:rFonts w:ascii="Times New Roman" w:hAnsi="Times New Roman" w:cs="Times New Roman"/>
                <w:bCs/>
                <w:sz w:val="24"/>
                <w:szCs w:val="24"/>
              </w:rPr>
              <w:t>May also consider transitioning patient to bumetanide for increased bioavailability</w:t>
            </w:r>
          </w:p>
          <w:p w14:paraId="58F74151" w14:textId="475C2389" w:rsidR="00C506F1" w:rsidRDefault="00C506F1" w:rsidP="00D47EEC">
            <w:pPr>
              <w:pStyle w:val="ListParagraph"/>
              <w:numPr>
                <w:ilvl w:val="0"/>
                <w:numId w:val="3"/>
              </w:numPr>
              <w:rPr>
                <w:rFonts w:ascii="Times New Roman" w:hAnsi="Times New Roman" w:cs="Times New Roman"/>
                <w:bCs/>
                <w:sz w:val="24"/>
                <w:szCs w:val="24"/>
              </w:rPr>
            </w:pPr>
            <w:r>
              <w:rPr>
                <w:rFonts w:ascii="Times New Roman" w:hAnsi="Times New Roman" w:cs="Times New Roman"/>
                <w:bCs/>
                <w:sz w:val="24"/>
                <w:szCs w:val="24"/>
              </w:rPr>
              <w:t xml:space="preserve">Pt </w:t>
            </w:r>
            <w:r w:rsidR="00F6668A">
              <w:rPr>
                <w:rFonts w:ascii="Times New Roman" w:hAnsi="Times New Roman" w:cs="Times New Roman"/>
                <w:bCs/>
                <w:sz w:val="24"/>
                <w:szCs w:val="24"/>
              </w:rPr>
              <w:t xml:space="preserve">would benefit from a more aggressive management of her heart failure to prevent future acute exacerbations, as well as disease progression. </w:t>
            </w:r>
            <w:r w:rsidR="00254FCB">
              <w:rPr>
                <w:rFonts w:ascii="Times New Roman" w:hAnsi="Times New Roman" w:cs="Times New Roman"/>
                <w:bCs/>
                <w:sz w:val="24"/>
                <w:szCs w:val="24"/>
              </w:rPr>
              <w:t xml:space="preserve">As described by Provider’s Letter (2022), optimal outcomes for patients with heart failure with reduced ejection fraction, especially those that have already failed therapy on an ACEI/ARB alone, includes a low dose ARNI (sacubitril/valsartan), beta blocker (metoprolol), SGLT 2 blocker (empagliflozin), as well as a diuretic (furosemide). </w:t>
            </w:r>
            <w:r w:rsidR="00F6668A">
              <w:rPr>
                <w:rFonts w:ascii="Times New Roman" w:hAnsi="Times New Roman" w:cs="Times New Roman"/>
                <w:bCs/>
                <w:sz w:val="24"/>
                <w:szCs w:val="24"/>
              </w:rPr>
              <w:t xml:space="preserve"> </w:t>
            </w:r>
          </w:p>
          <w:p w14:paraId="2E9ED192" w14:textId="4B6F1CDA" w:rsidR="0063194C" w:rsidRDefault="0063194C" w:rsidP="00D47EEC">
            <w:pPr>
              <w:pStyle w:val="ListParagraph"/>
              <w:numPr>
                <w:ilvl w:val="0"/>
                <w:numId w:val="3"/>
              </w:numPr>
              <w:rPr>
                <w:rFonts w:ascii="Times New Roman" w:hAnsi="Times New Roman" w:cs="Times New Roman"/>
                <w:bCs/>
                <w:sz w:val="24"/>
                <w:szCs w:val="24"/>
              </w:rPr>
            </w:pPr>
            <w:r>
              <w:rPr>
                <w:rFonts w:ascii="Times New Roman" w:hAnsi="Times New Roman" w:cs="Times New Roman"/>
                <w:bCs/>
                <w:sz w:val="24"/>
                <w:szCs w:val="24"/>
              </w:rPr>
              <w:t xml:space="preserve">Non-pharmacologic interventions for this patient would include education on heart healthy diet, </w:t>
            </w:r>
            <w:r w:rsidR="00667821">
              <w:rPr>
                <w:rFonts w:ascii="Times New Roman" w:hAnsi="Times New Roman" w:cs="Times New Roman"/>
                <w:bCs/>
                <w:sz w:val="24"/>
                <w:szCs w:val="24"/>
              </w:rPr>
              <w:t xml:space="preserve">cardiovascular exercise (with consideration for cardiac rehab, depending on current activity levels), </w:t>
            </w:r>
            <w:r w:rsidR="00A2498B">
              <w:rPr>
                <w:rFonts w:ascii="Times New Roman" w:hAnsi="Times New Roman" w:cs="Times New Roman"/>
                <w:bCs/>
                <w:sz w:val="24"/>
                <w:szCs w:val="24"/>
              </w:rPr>
              <w:t>sodium intake of less than 2 grams daily</w:t>
            </w:r>
            <w:r w:rsidR="00B91899">
              <w:rPr>
                <w:rFonts w:ascii="Times New Roman" w:hAnsi="Times New Roman" w:cs="Times New Roman"/>
                <w:bCs/>
                <w:sz w:val="24"/>
                <w:szCs w:val="24"/>
              </w:rPr>
              <w:t xml:space="preserve"> with avoidance of salt substitutes to prevent </w:t>
            </w:r>
            <w:r w:rsidR="00A242BD">
              <w:rPr>
                <w:rFonts w:ascii="Times New Roman" w:hAnsi="Times New Roman" w:cs="Times New Roman"/>
                <w:bCs/>
                <w:sz w:val="24"/>
                <w:szCs w:val="24"/>
              </w:rPr>
              <w:t>hyperkalemia</w:t>
            </w:r>
            <w:r w:rsidR="00A2498B">
              <w:rPr>
                <w:rFonts w:ascii="Times New Roman" w:hAnsi="Times New Roman" w:cs="Times New Roman"/>
                <w:bCs/>
                <w:sz w:val="24"/>
                <w:szCs w:val="24"/>
              </w:rPr>
              <w:t xml:space="preserve">. </w:t>
            </w:r>
            <w:r w:rsidR="003A5113">
              <w:rPr>
                <w:rFonts w:ascii="Times New Roman" w:hAnsi="Times New Roman" w:cs="Times New Roman"/>
                <w:bCs/>
                <w:sz w:val="24"/>
                <w:szCs w:val="24"/>
              </w:rPr>
              <w:t xml:space="preserve">Patient should continue weighing herself daily to monitor effectiveness of current treatment regimen. </w:t>
            </w:r>
            <w:r w:rsidR="00913E96">
              <w:rPr>
                <w:rFonts w:ascii="Times New Roman" w:hAnsi="Times New Roman" w:cs="Times New Roman"/>
                <w:bCs/>
                <w:sz w:val="24"/>
                <w:szCs w:val="24"/>
              </w:rPr>
              <w:t xml:space="preserve">Lifestyle changes alone are unlikely to generate sufficient results to counteract her current exacerbation. </w:t>
            </w:r>
          </w:p>
          <w:p w14:paraId="1ABAC9C6" w14:textId="77D68FC1" w:rsidR="00DB0A40" w:rsidRPr="00D47EEC" w:rsidRDefault="00DB0A40" w:rsidP="00D47EEC">
            <w:pPr>
              <w:pStyle w:val="ListParagraph"/>
              <w:numPr>
                <w:ilvl w:val="0"/>
                <w:numId w:val="3"/>
              </w:numPr>
              <w:rPr>
                <w:rFonts w:ascii="Times New Roman" w:hAnsi="Times New Roman" w:cs="Times New Roman"/>
                <w:bCs/>
                <w:sz w:val="24"/>
                <w:szCs w:val="24"/>
              </w:rPr>
            </w:pPr>
            <w:r>
              <w:rPr>
                <w:rFonts w:ascii="Times New Roman" w:hAnsi="Times New Roman" w:cs="Times New Roman"/>
                <w:bCs/>
                <w:sz w:val="24"/>
                <w:szCs w:val="24"/>
              </w:rPr>
              <w:t xml:space="preserve">Consider specialist consultation if patient’s symptoms continue to progress. </w:t>
            </w:r>
          </w:p>
        </w:tc>
      </w:tr>
      <w:tr w:rsidR="004D1F76" w:rsidRPr="009313C9" w14:paraId="627A850E" w14:textId="77777777" w:rsidTr="00187C4D">
        <w:trPr>
          <w:trHeight w:val="1430"/>
        </w:trPr>
        <w:tc>
          <w:tcPr>
            <w:tcW w:w="265" w:type="dxa"/>
          </w:tcPr>
          <w:p w14:paraId="1D45FFDA" w14:textId="36F477CC" w:rsidR="004D1F76" w:rsidRPr="009313C9" w:rsidRDefault="004D1F76" w:rsidP="007830E8">
            <w:pPr>
              <w:rPr>
                <w:rFonts w:ascii="Times New Roman" w:hAnsi="Times New Roman" w:cs="Times New Roman"/>
                <w:bCs/>
                <w:sz w:val="24"/>
                <w:szCs w:val="24"/>
              </w:rPr>
            </w:pPr>
          </w:p>
        </w:tc>
        <w:tc>
          <w:tcPr>
            <w:tcW w:w="2670" w:type="dxa"/>
          </w:tcPr>
          <w:p w14:paraId="21751A40" w14:textId="77777777" w:rsidR="004D1F76" w:rsidRPr="009313C9" w:rsidRDefault="0074064C" w:rsidP="007830E8">
            <w:pPr>
              <w:rPr>
                <w:rFonts w:ascii="Times New Roman" w:hAnsi="Times New Roman" w:cs="Times New Roman"/>
                <w:bCs/>
                <w:sz w:val="24"/>
                <w:szCs w:val="24"/>
              </w:rPr>
            </w:pPr>
            <w:r w:rsidRPr="009313C9">
              <w:rPr>
                <w:rFonts w:ascii="Times New Roman" w:hAnsi="Times New Roman" w:cs="Times New Roman"/>
                <w:bCs/>
                <w:sz w:val="24"/>
                <w:szCs w:val="24"/>
              </w:rPr>
              <w:t>Contraindications</w:t>
            </w:r>
          </w:p>
        </w:tc>
        <w:tc>
          <w:tcPr>
            <w:tcW w:w="7050" w:type="dxa"/>
          </w:tcPr>
          <w:p w14:paraId="1875ADDA" w14:textId="58F984F2" w:rsidR="002B6A38" w:rsidRDefault="002B6A38" w:rsidP="00D72751">
            <w:pPr>
              <w:pStyle w:val="ListParagraph"/>
              <w:numPr>
                <w:ilvl w:val="0"/>
                <w:numId w:val="3"/>
              </w:numPr>
              <w:rPr>
                <w:rFonts w:ascii="Times New Roman" w:hAnsi="Times New Roman" w:cs="Times New Roman"/>
                <w:bCs/>
                <w:sz w:val="24"/>
                <w:szCs w:val="24"/>
              </w:rPr>
            </w:pPr>
            <w:r>
              <w:rPr>
                <w:rFonts w:ascii="Times New Roman" w:hAnsi="Times New Roman" w:cs="Times New Roman"/>
                <w:bCs/>
                <w:sz w:val="24"/>
                <w:szCs w:val="24"/>
              </w:rPr>
              <w:t xml:space="preserve">Bumetanide: </w:t>
            </w:r>
            <w:r w:rsidR="00327A29">
              <w:rPr>
                <w:rFonts w:ascii="Times New Roman" w:hAnsi="Times New Roman" w:cs="Times New Roman"/>
                <w:bCs/>
                <w:sz w:val="24"/>
                <w:szCs w:val="24"/>
              </w:rPr>
              <w:t>This is a pregnancy category C drug</w:t>
            </w:r>
            <w:r w:rsidR="0051387A">
              <w:rPr>
                <w:rFonts w:ascii="Times New Roman" w:hAnsi="Times New Roman" w:cs="Times New Roman"/>
                <w:bCs/>
                <w:sz w:val="24"/>
                <w:szCs w:val="24"/>
              </w:rPr>
              <w:t xml:space="preserve">. </w:t>
            </w:r>
            <w:r w:rsidR="00D26DF5">
              <w:rPr>
                <w:rFonts w:ascii="Times New Roman" w:hAnsi="Times New Roman" w:cs="Times New Roman"/>
                <w:bCs/>
                <w:sz w:val="24"/>
                <w:szCs w:val="24"/>
              </w:rPr>
              <w:t xml:space="preserve">Other contraindications include severe electrolyte abnormalities, anuria, hepatic coma, and hypersensitivity. </w:t>
            </w:r>
            <w:r w:rsidR="00643EE4">
              <w:rPr>
                <w:rFonts w:ascii="Times New Roman" w:hAnsi="Times New Roman" w:cs="Times New Roman"/>
                <w:bCs/>
                <w:sz w:val="24"/>
                <w:szCs w:val="24"/>
              </w:rPr>
              <w:t>(Mosby, 2017)</w:t>
            </w:r>
          </w:p>
          <w:p w14:paraId="28BA5D8D" w14:textId="7853CE36" w:rsidR="00E73583" w:rsidRPr="00D72751" w:rsidRDefault="007F21F5" w:rsidP="00D72751">
            <w:pPr>
              <w:pStyle w:val="ListParagraph"/>
              <w:numPr>
                <w:ilvl w:val="0"/>
                <w:numId w:val="3"/>
              </w:numPr>
              <w:spacing w:after="160" w:line="259" w:lineRule="auto"/>
              <w:rPr>
                <w:rFonts w:ascii="Times New Roman" w:hAnsi="Times New Roman" w:cs="Times New Roman"/>
                <w:bCs/>
                <w:sz w:val="24"/>
                <w:szCs w:val="24"/>
              </w:rPr>
            </w:pPr>
            <w:r w:rsidRPr="007F21F5">
              <w:rPr>
                <w:rFonts w:ascii="Times New Roman" w:hAnsi="Times New Roman" w:cs="Times New Roman"/>
                <w:bCs/>
                <w:sz w:val="24"/>
                <w:szCs w:val="24"/>
              </w:rPr>
              <w:t>Empagliflozin:</w:t>
            </w:r>
            <w:r w:rsidR="007E5992">
              <w:rPr>
                <w:rFonts w:ascii="Times New Roman" w:hAnsi="Times New Roman" w:cs="Times New Roman"/>
                <w:bCs/>
                <w:sz w:val="24"/>
                <w:szCs w:val="24"/>
              </w:rPr>
              <w:t xml:space="preserve"> Severe renal impairment, </w:t>
            </w:r>
            <w:r w:rsidR="00CF0366">
              <w:rPr>
                <w:rFonts w:ascii="Times New Roman" w:hAnsi="Times New Roman" w:cs="Times New Roman"/>
                <w:bCs/>
                <w:sz w:val="24"/>
                <w:szCs w:val="24"/>
              </w:rPr>
              <w:t>hypersensitivity, type I diabetes, pregnancy (3</w:t>
            </w:r>
            <w:r w:rsidR="00CF0366" w:rsidRPr="00CF0366">
              <w:rPr>
                <w:rFonts w:ascii="Times New Roman" w:hAnsi="Times New Roman" w:cs="Times New Roman"/>
                <w:bCs/>
                <w:sz w:val="24"/>
                <w:szCs w:val="24"/>
                <w:vertAlign w:val="superscript"/>
              </w:rPr>
              <w:t>rd</w:t>
            </w:r>
            <w:r w:rsidR="00CF0366">
              <w:rPr>
                <w:rFonts w:ascii="Times New Roman" w:hAnsi="Times New Roman" w:cs="Times New Roman"/>
                <w:bCs/>
                <w:sz w:val="24"/>
                <w:szCs w:val="24"/>
              </w:rPr>
              <w:t xml:space="preserve"> trimester)</w:t>
            </w:r>
            <w:r w:rsidR="00D72751">
              <w:rPr>
                <w:rFonts w:ascii="Times New Roman" w:hAnsi="Times New Roman" w:cs="Times New Roman"/>
                <w:bCs/>
                <w:sz w:val="24"/>
                <w:szCs w:val="24"/>
              </w:rPr>
              <w:t xml:space="preserve"> </w:t>
            </w:r>
            <w:r w:rsidR="00D72751">
              <w:rPr>
                <w:rFonts w:ascii="Times New Roman" w:hAnsi="Times New Roman" w:cs="Times New Roman"/>
                <w:bCs/>
                <w:sz w:val="24"/>
                <w:szCs w:val="24"/>
              </w:rPr>
              <w:t>(Sizar et al, 2023)</w:t>
            </w:r>
          </w:p>
          <w:p w14:paraId="0B67CE90" w14:textId="7582F8BC" w:rsidR="007F21F5" w:rsidRPr="007F21F5" w:rsidRDefault="007F21F5" w:rsidP="00D72751">
            <w:pPr>
              <w:pStyle w:val="ListParagraph"/>
              <w:numPr>
                <w:ilvl w:val="0"/>
                <w:numId w:val="3"/>
              </w:numPr>
              <w:rPr>
                <w:rFonts w:ascii="Times New Roman" w:hAnsi="Times New Roman" w:cs="Times New Roman"/>
                <w:bCs/>
                <w:sz w:val="24"/>
                <w:szCs w:val="24"/>
              </w:rPr>
            </w:pPr>
            <w:r w:rsidRPr="007F21F5">
              <w:rPr>
                <w:rFonts w:ascii="Times New Roman" w:hAnsi="Times New Roman" w:cs="Times New Roman"/>
                <w:bCs/>
                <w:sz w:val="24"/>
                <w:szCs w:val="24"/>
              </w:rPr>
              <w:lastRenderedPageBreak/>
              <w:t>Furosemide:</w:t>
            </w:r>
            <w:r w:rsidR="00513FEA">
              <w:rPr>
                <w:rFonts w:ascii="Times New Roman" w:hAnsi="Times New Roman" w:cs="Times New Roman"/>
                <w:bCs/>
                <w:sz w:val="24"/>
                <w:szCs w:val="24"/>
              </w:rPr>
              <w:t xml:space="preserve"> This is a pregnancy category C drug. Other contraindications include severe electrolyte abnormalities, anuria, </w:t>
            </w:r>
            <w:r w:rsidR="00495B6A">
              <w:rPr>
                <w:rFonts w:ascii="Times New Roman" w:hAnsi="Times New Roman" w:cs="Times New Roman"/>
                <w:bCs/>
                <w:sz w:val="24"/>
                <w:szCs w:val="24"/>
              </w:rPr>
              <w:t xml:space="preserve">hepatic coma, hypersensitivity. </w:t>
            </w:r>
            <w:r w:rsidR="00643EE4">
              <w:rPr>
                <w:rFonts w:ascii="Times New Roman" w:hAnsi="Times New Roman" w:cs="Times New Roman"/>
                <w:bCs/>
                <w:sz w:val="24"/>
                <w:szCs w:val="24"/>
              </w:rPr>
              <w:t>(Mosby, 2017)</w:t>
            </w:r>
          </w:p>
          <w:p w14:paraId="52D52B64" w14:textId="764BAA8A" w:rsidR="007F21F5" w:rsidRPr="007F21F5" w:rsidRDefault="007F21F5" w:rsidP="00D72751">
            <w:pPr>
              <w:pStyle w:val="ListParagraph"/>
              <w:numPr>
                <w:ilvl w:val="0"/>
                <w:numId w:val="3"/>
              </w:numPr>
              <w:rPr>
                <w:rFonts w:ascii="Times New Roman" w:hAnsi="Times New Roman" w:cs="Times New Roman"/>
                <w:bCs/>
                <w:sz w:val="24"/>
                <w:szCs w:val="24"/>
              </w:rPr>
            </w:pPr>
            <w:r w:rsidRPr="007F21F5">
              <w:rPr>
                <w:rFonts w:ascii="Times New Roman" w:hAnsi="Times New Roman" w:cs="Times New Roman"/>
                <w:bCs/>
                <w:sz w:val="24"/>
                <w:szCs w:val="24"/>
              </w:rPr>
              <w:t>Metoprolol:</w:t>
            </w:r>
            <w:r w:rsidR="007C6583">
              <w:rPr>
                <w:rFonts w:ascii="Times New Roman" w:hAnsi="Times New Roman" w:cs="Times New Roman"/>
                <w:bCs/>
                <w:sz w:val="24"/>
                <w:szCs w:val="24"/>
              </w:rPr>
              <w:t xml:space="preserve"> </w:t>
            </w:r>
            <w:r w:rsidR="007C6583">
              <w:rPr>
                <w:rFonts w:ascii="Times New Roman" w:hAnsi="Times New Roman" w:cs="Times New Roman"/>
                <w:bCs/>
                <w:sz w:val="24"/>
                <w:szCs w:val="24"/>
              </w:rPr>
              <w:t>Uncompensated heart failure, pulmonary edema, cardiogenic shock, bradycardia, heart block, sick sinus syndrome. (Davis, 2023)</w:t>
            </w:r>
          </w:p>
          <w:p w14:paraId="247CCABD" w14:textId="4A5E087F" w:rsidR="007F21F5" w:rsidRPr="007F21F5" w:rsidRDefault="007F21F5" w:rsidP="00D72751">
            <w:pPr>
              <w:pStyle w:val="ListParagraph"/>
              <w:numPr>
                <w:ilvl w:val="0"/>
                <w:numId w:val="3"/>
              </w:numPr>
              <w:rPr>
                <w:rFonts w:ascii="Times New Roman" w:hAnsi="Times New Roman" w:cs="Times New Roman"/>
                <w:bCs/>
                <w:sz w:val="24"/>
                <w:szCs w:val="24"/>
              </w:rPr>
            </w:pPr>
            <w:r w:rsidRPr="007F21F5">
              <w:rPr>
                <w:rFonts w:ascii="Times New Roman" w:hAnsi="Times New Roman" w:cs="Times New Roman"/>
                <w:bCs/>
                <w:sz w:val="24"/>
                <w:szCs w:val="24"/>
              </w:rPr>
              <w:t xml:space="preserve">Sacubitril/Valsartan: </w:t>
            </w:r>
            <w:r w:rsidR="00B04CFE">
              <w:rPr>
                <w:rFonts w:ascii="Times New Roman" w:hAnsi="Times New Roman" w:cs="Times New Roman"/>
                <w:bCs/>
                <w:sz w:val="24"/>
                <w:szCs w:val="24"/>
              </w:rPr>
              <w:t xml:space="preserve">This is a pregnancy category C drug. Other contraindications include </w:t>
            </w:r>
            <w:r w:rsidR="00231ABB">
              <w:rPr>
                <w:rFonts w:ascii="Times New Roman" w:hAnsi="Times New Roman" w:cs="Times New Roman"/>
                <w:bCs/>
                <w:sz w:val="24"/>
                <w:szCs w:val="24"/>
              </w:rPr>
              <w:t xml:space="preserve">hypersensitivity to either drug, history of angioedema with ACEIs, and ACE or ARB use within 36 hours. (Stop current therapy for at least 36 hours before starting sacubitril/valsartan.) </w:t>
            </w:r>
            <w:r w:rsidR="00643EE4">
              <w:rPr>
                <w:rFonts w:ascii="Times New Roman" w:hAnsi="Times New Roman" w:cs="Times New Roman"/>
                <w:bCs/>
                <w:sz w:val="24"/>
                <w:szCs w:val="24"/>
              </w:rPr>
              <w:t>(Mosby, 2017)</w:t>
            </w:r>
          </w:p>
        </w:tc>
      </w:tr>
      <w:tr w:rsidR="004D1F76" w:rsidRPr="009313C9" w14:paraId="228E24B5" w14:textId="77777777" w:rsidTr="00187C4D">
        <w:trPr>
          <w:trHeight w:val="1340"/>
        </w:trPr>
        <w:tc>
          <w:tcPr>
            <w:tcW w:w="265" w:type="dxa"/>
          </w:tcPr>
          <w:p w14:paraId="114F6678" w14:textId="77777777" w:rsidR="004D1F76" w:rsidRPr="009313C9" w:rsidRDefault="004D1F76" w:rsidP="007830E8">
            <w:pPr>
              <w:rPr>
                <w:rFonts w:ascii="Times New Roman" w:hAnsi="Times New Roman" w:cs="Times New Roman"/>
                <w:bCs/>
                <w:sz w:val="24"/>
                <w:szCs w:val="24"/>
              </w:rPr>
            </w:pPr>
          </w:p>
        </w:tc>
        <w:tc>
          <w:tcPr>
            <w:tcW w:w="2670" w:type="dxa"/>
          </w:tcPr>
          <w:p w14:paraId="2E1AD127" w14:textId="77777777" w:rsidR="004D1F76" w:rsidRPr="009313C9" w:rsidRDefault="00701D6B" w:rsidP="007830E8">
            <w:pPr>
              <w:rPr>
                <w:rFonts w:ascii="Times New Roman" w:hAnsi="Times New Roman" w:cs="Times New Roman"/>
                <w:bCs/>
                <w:sz w:val="24"/>
                <w:szCs w:val="24"/>
              </w:rPr>
            </w:pPr>
            <w:r w:rsidRPr="009313C9">
              <w:rPr>
                <w:rFonts w:ascii="Times New Roman" w:hAnsi="Times New Roman" w:cs="Times New Roman"/>
                <w:bCs/>
                <w:sz w:val="24"/>
                <w:szCs w:val="24"/>
              </w:rPr>
              <w:t>Precautions</w:t>
            </w:r>
          </w:p>
        </w:tc>
        <w:tc>
          <w:tcPr>
            <w:tcW w:w="7050" w:type="dxa"/>
          </w:tcPr>
          <w:p w14:paraId="57DE5F34" w14:textId="44851F4C" w:rsidR="00D72751" w:rsidRDefault="002B6A38" w:rsidP="00D72751">
            <w:pPr>
              <w:pStyle w:val="ListParagraph"/>
              <w:numPr>
                <w:ilvl w:val="0"/>
                <w:numId w:val="18"/>
              </w:numPr>
              <w:rPr>
                <w:rFonts w:ascii="Times New Roman" w:hAnsi="Times New Roman" w:cs="Times New Roman"/>
                <w:bCs/>
                <w:sz w:val="24"/>
                <w:szCs w:val="24"/>
              </w:rPr>
            </w:pPr>
            <w:r>
              <w:rPr>
                <w:rFonts w:ascii="Times New Roman" w:hAnsi="Times New Roman" w:cs="Times New Roman"/>
                <w:bCs/>
                <w:sz w:val="24"/>
                <w:szCs w:val="24"/>
              </w:rPr>
              <w:t xml:space="preserve">Bumetanide: </w:t>
            </w:r>
            <w:r w:rsidR="00D26DF5">
              <w:rPr>
                <w:rFonts w:ascii="Times New Roman" w:hAnsi="Times New Roman" w:cs="Times New Roman"/>
                <w:bCs/>
                <w:sz w:val="24"/>
                <w:szCs w:val="24"/>
              </w:rPr>
              <w:t xml:space="preserve">Drug interactions include amphotericin B, drugs that are known to be ototoxic or nephrotoxic, heparin, lithium, drugs known to decrease potassium. </w:t>
            </w:r>
            <w:r w:rsidR="00975710">
              <w:rPr>
                <w:rFonts w:ascii="Times New Roman" w:hAnsi="Times New Roman" w:cs="Times New Roman"/>
                <w:bCs/>
                <w:sz w:val="24"/>
                <w:szCs w:val="24"/>
              </w:rPr>
              <w:t>**Provider should be aware this medication may increase BG, BUN, serum uric acid, urinary phosphate, and decrease serum calcium, chloride, magnesium, potassium, and sodium**</w:t>
            </w:r>
            <w:r w:rsidR="003A26A0">
              <w:rPr>
                <w:rFonts w:ascii="Times New Roman" w:hAnsi="Times New Roman" w:cs="Times New Roman"/>
                <w:bCs/>
                <w:sz w:val="24"/>
                <w:szCs w:val="24"/>
              </w:rPr>
              <w:t xml:space="preserve"> Use carefully in patients with DM, hypersensitivity to sulfonamides, renal or hepatic impairment, and in the elderly. </w:t>
            </w:r>
            <w:r w:rsidR="00643EE4">
              <w:rPr>
                <w:rFonts w:ascii="Times New Roman" w:hAnsi="Times New Roman" w:cs="Times New Roman"/>
                <w:bCs/>
                <w:sz w:val="24"/>
                <w:szCs w:val="24"/>
              </w:rPr>
              <w:t>(Mosby, 2017)</w:t>
            </w:r>
          </w:p>
          <w:p w14:paraId="0ECC80C7" w14:textId="4C7DEB9B" w:rsidR="007F21F5" w:rsidRPr="00D72751" w:rsidRDefault="007F21F5" w:rsidP="00D72751">
            <w:pPr>
              <w:pStyle w:val="ListParagraph"/>
              <w:numPr>
                <w:ilvl w:val="0"/>
                <w:numId w:val="18"/>
              </w:numPr>
              <w:rPr>
                <w:rFonts w:ascii="Times New Roman" w:hAnsi="Times New Roman" w:cs="Times New Roman"/>
                <w:bCs/>
                <w:sz w:val="24"/>
                <w:szCs w:val="24"/>
              </w:rPr>
            </w:pPr>
            <w:r w:rsidRPr="00D72751">
              <w:rPr>
                <w:rFonts w:ascii="Times New Roman" w:hAnsi="Times New Roman" w:cs="Times New Roman"/>
                <w:bCs/>
                <w:sz w:val="24"/>
                <w:szCs w:val="24"/>
              </w:rPr>
              <w:t>Empagliflozin:</w:t>
            </w:r>
            <w:r w:rsidR="000626A7" w:rsidRPr="00D72751">
              <w:rPr>
                <w:rFonts w:ascii="Times New Roman" w:hAnsi="Times New Roman" w:cs="Times New Roman"/>
                <w:bCs/>
                <w:sz w:val="24"/>
                <w:szCs w:val="24"/>
              </w:rPr>
              <w:t xml:space="preserve"> Possible drug interactions with diuretics and other anti-diabetic medications. </w:t>
            </w:r>
            <w:r w:rsidR="00A30217" w:rsidRPr="00D72751">
              <w:rPr>
                <w:rFonts w:ascii="Times New Roman" w:hAnsi="Times New Roman" w:cs="Times New Roman"/>
                <w:bCs/>
                <w:sz w:val="24"/>
                <w:szCs w:val="24"/>
              </w:rPr>
              <w:t xml:space="preserve">Use carefully in patients with renal impairment. </w:t>
            </w:r>
            <w:r w:rsidR="00D72751">
              <w:rPr>
                <w:rFonts w:ascii="Times New Roman" w:hAnsi="Times New Roman" w:cs="Times New Roman"/>
                <w:bCs/>
                <w:sz w:val="24"/>
                <w:szCs w:val="24"/>
              </w:rPr>
              <w:t>(Sizar et al, 2023)</w:t>
            </w:r>
          </w:p>
          <w:p w14:paraId="56751461" w14:textId="3F7964E2" w:rsidR="007F21F5" w:rsidRPr="007F21F5" w:rsidRDefault="007F21F5" w:rsidP="00D72751">
            <w:pPr>
              <w:pStyle w:val="ListParagraph"/>
              <w:numPr>
                <w:ilvl w:val="0"/>
                <w:numId w:val="18"/>
              </w:numPr>
              <w:rPr>
                <w:rFonts w:ascii="Times New Roman" w:hAnsi="Times New Roman" w:cs="Times New Roman"/>
                <w:bCs/>
                <w:sz w:val="24"/>
                <w:szCs w:val="24"/>
              </w:rPr>
            </w:pPr>
            <w:r w:rsidRPr="007F21F5">
              <w:rPr>
                <w:rFonts w:ascii="Times New Roman" w:hAnsi="Times New Roman" w:cs="Times New Roman"/>
                <w:bCs/>
                <w:sz w:val="24"/>
                <w:szCs w:val="24"/>
              </w:rPr>
              <w:t>Furosemide:</w:t>
            </w:r>
            <w:r w:rsidR="00495B6A">
              <w:rPr>
                <w:rFonts w:ascii="Times New Roman" w:hAnsi="Times New Roman" w:cs="Times New Roman"/>
                <w:bCs/>
                <w:sz w:val="24"/>
                <w:szCs w:val="24"/>
              </w:rPr>
              <w:t xml:space="preserve"> Drug interactions include </w:t>
            </w:r>
            <w:r w:rsidR="003A41DB">
              <w:rPr>
                <w:rFonts w:ascii="Times New Roman" w:hAnsi="Times New Roman" w:cs="Times New Roman"/>
                <w:bCs/>
                <w:sz w:val="24"/>
                <w:szCs w:val="24"/>
              </w:rPr>
              <w:t>amphotericin B, drugs that are known to be ototoxic or nephrotoxic, lithium, drugs known to decrease potassium</w:t>
            </w:r>
            <w:r w:rsidR="00C160CA">
              <w:rPr>
                <w:rFonts w:ascii="Times New Roman" w:hAnsi="Times New Roman" w:cs="Times New Roman"/>
                <w:bCs/>
                <w:sz w:val="24"/>
                <w:szCs w:val="24"/>
              </w:rPr>
              <w:t xml:space="preserve">. **Provider should be aware this may increase blood glucose, BUN and serum uric acid levels. May decrease serum calcium, sodium, chloride, magnesium and potassium.) </w:t>
            </w:r>
            <w:r w:rsidR="00643EE4">
              <w:rPr>
                <w:rFonts w:ascii="Times New Roman" w:hAnsi="Times New Roman" w:cs="Times New Roman"/>
                <w:bCs/>
                <w:sz w:val="24"/>
                <w:szCs w:val="24"/>
              </w:rPr>
              <w:t>(Mosby, 2017)</w:t>
            </w:r>
          </w:p>
          <w:p w14:paraId="649BAF05" w14:textId="656D104B" w:rsidR="007F21F5" w:rsidRPr="007F21F5" w:rsidRDefault="007F21F5" w:rsidP="00D72751">
            <w:pPr>
              <w:pStyle w:val="ListParagraph"/>
              <w:numPr>
                <w:ilvl w:val="0"/>
                <w:numId w:val="18"/>
              </w:numPr>
              <w:rPr>
                <w:rFonts w:ascii="Times New Roman" w:hAnsi="Times New Roman" w:cs="Times New Roman"/>
                <w:bCs/>
                <w:sz w:val="24"/>
                <w:szCs w:val="24"/>
              </w:rPr>
            </w:pPr>
            <w:r w:rsidRPr="007F21F5">
              <w:rPr>
                <w:rFonts w:ascii="Times New Roman" w:hAnsi="Times New Roman" w:cs="Times New Roman"/>
                <w:bCs/>
                <w:sz w:val="24"/>
                <w:szCs w:val="24"/>
              </w:rPr>
              <w:t>Metoprolol:</w:t>
            </w:r>
            <w:r w:rsidR="00B95EA2">
              <w:rPr>
                <w:rFonts w:ascii="Times New Roman" w:hAnsi="Times New Roman" w:cs="Times New Roman"/>
                <w:bCs/>
                <w:sz w:val="24"/>
                <w:szCs w:val="24"/>
              </w:rPr>
              <w:t xml:space="preserve"> </w:t>
            </w:r>
            <w:r w:rsidR="00B95EA2">
              <w:rPr>
                <w:rFonts w:ascii="Times New Roman" w:hAnsi="Times New Roman" w:cs="Times New Roman"/>
                <w:bCs/>
                <w:sz w:val="24"/>
                <w:szCs w:val="24"/>
              </w:rPr>
              <w:t xml:space="preserve">Use cautiously in patients with renal or hepatic impairment, asthma, diabetes (may mask s/s of hypoglycemia), thyrotoxicosis, history of severe allergic reactions, untreated pheochromocytoma, pregnancy and lactation. Use caution in </w:t>
            </w:r>
            <w:proofErr w:type="spellStart"/>
            <w:r w:rsidR="00B95EA2">
              <w:rPr>
                <w:rFonts w:ascii="Times New Roman" w:hAnsi="Times New Roman" w:cs="Times New Roman"/>
                <w:bCs/>
                <w:sz w:val="24"/>
                <w:szCs w:val="24"/>
              </w:rPr>
              <w:t>paediatric</w:t>
            </w:r>
            <w:proofErr w:type="spellEnd"/>
            <w:r w:rsidR="00B95EA2">
              <w:rPr>
                <w:rFonts w:ascii="Times New Roman" w:hAnsi="Times New Roman" w:cs="Times New Roman"/>
                <w:bCs/>
                <w:sz w:val="24"/>
                <w:szCs w:val="24"/>
              </w:rPr>
              <w:t xml:space="preserve"> or geriatric dosing. Drug interactions are many, and include anesthesia, phenytoin, calcium channel blockers, digoxin, other antihypertensives, alcohol, stimulants (cocaine, phenylephrine), thyroid medication, insulin, oral hypoglycemics, theophylline, MAOIs, dopamine, dobutamine (Davis, 2023)</w:t>
            </w:r>
          </w:p>
          <w:p w14:paraId="55D68A8D" w14:textId="408C492F" w:rsidR="00DC530D" w:rsidRPr="007F21F5" w:rsidRDefault="007F21F5" w:rsidP="00D72751">
            <w:pPr>
              <w:pStyle w:val="ListParagraph"/>
              <w:numPr>
                <w:ilvl w:val="0"/>
                <w:numId w:val="18"/>
              </w:numPr>
              <w:rPr>
                <w:rFonts w:ascii="Times New Roman" w:hAnsi="Times New Roman" w:cs="Times New Roman"/>
                <w:bCs/>
                <w:sz w:val="24"/>
                <w:szCs w:val="24"/>
              </w:rPr>
            </w:pPr>
            <w:r w:rsidRPr="007F21F5">
              <w:rPr>
                <w:rFonts w:ascii="Times New Roman" w:hAnsi="Times New Roman" w:cs="Times New Roman"/>
                <w:bCs/>
                <w:sz w:val="24"/>
                <w:szCs w:val="24"/>
              </w:rPr>
              <w:t>Sacubitril/Valsartan:</w:t>
            </w:r>
            <w:r w:rsidR="000776CF">
              <w:rPr>
                <w:rFonts w:ascii="Times New Roman" w:hAnsi="Times New Roman" w:cs="Times New Roman"/>
                <w:bCs/>
                <w:sz w:val="24"/>
                <w:szCs w:val="24"/>
              </w:rPr>
              <w:t xml:space="preserve"> Drug interactions include ACEIs/ARBs, </w:t>
            </w:r>
            <w:proofErr w:type="spellStart"/>
            <w:r w:rsidR="000776CF">
              <w:rPr>
                <w:rFonts w:ascii="Times New Roman" w:hAnsi="Times New Roman" w:cs="Times New Roman"/>
                <w:bCs/>
                <w:sz w:val="24"/>
                <w:szCs w:val="24"/>
              </w:rPr>
              <w:t>aliskirin</w:t>
            </w:r>
            <w:proofErr w:type="spellEnd"/>
            <w:r w:rsidR="000776CF">
              <w:rPr>
                <w:rFonts w:ascii="Times New Roman" w:hAnsi="Times New Roman" w:cs="Times New Roman"/>
                <w:bCs/>
                <w:sz w:val="24"/>
                <w:szCs w:val="24"/>
              </w:rPr>
              <w:t xml:space="preserve">, potassium-sparing diuretics, </w:t>
            </w:r>
            <w:proofErr w:type="spellStart"/>
            <w:r w:rsidR="000776CF">
              <w:rPr>
                <w:rFonts w:ascii="Times New Roman" w:hAnsi="Times New Roman" w:cs="Times New Roman"/>
                <w:bCs/>
                <w:sz w:val="24"/>
                <w:szCs w:val="24"/>
              </w:rPr>
              <w:t>nsaids</w:t>
            </w:r>
            <w:proofErr w:type="spellEnd"/>
            <w:r w:rsidR="000776CF">
              <w:rPr>
                <w:rFonts w:ascii="Times New Roman" w:hAnsi="Times New Roman" w:cs="Times New Roman"/>
                <w:bCs/>
                <w:sz w:val="24"/>
                <w:szCs w:val="24"/>
              </w:rPr>
              <w:t xml:space="preserve">, lithium, atypical antipsychotics, ciprofloxacin, cyclosporine, duloxetine, </w:t>
            </w:r>
            <w:proofErr w:type="spellStart"/>
            <w:r w:rsidR="000776CF">
              <w:rPr>
                <w:rFonts w:ascii="Times New Roman" w:hAnsi="Times New Roman" w:cs="Times New Roman"/>
                <w:bCs/>
                <w:sz w:val="24"/>
                <w:szCs w:val="24"/>
              </w:rPr>
              <w:t>hydrochlorthiazide</w:t>
            </w:r>
            <w:proofErr w:type="spellEnd"/>
            <w:r w:rsidR="000776CF">
              <w:rPr>
                <w:rFonts w:ascii="Times New Roman" w:hAnsi="Times New Roman" w:cs="Times New Roman"/>
                <w:bCs/>
                <w:sz w:val="24"/>
                <w:szCs w:val="24"/>
              </w:rPr>
              <w:t>, levodopa, nitroprusside</w:t>
            </w:r>
            <w:r w:rsidR="00B800AD">
              <w:rPr>
                <w:rFonts w:ascii="Times New Roman" w:hAnsi="Times New Roman" w:cs="Times New Roman"/>
                <w:bCs/>
                <w:sz w:val="24"/>
                <w:szCs w:val="24"/>
              </w:rPr>
              <w:t>. Herbal interaction with yohimbine. **Provider should be aware that this may decrease hemoglobin and hematocrit, and increase serum creatinine and potassium.**</w:t>
            </w:r>
            <w:r w:rsidR="00643EE4">
              <w:rPr>
                <w:rFonts w:ascii="Times New Roman" w:hAnsi="Times New Roman" w:cs="Times New Roman"/>
                <w:bCs/>
                <w:sz w:val="24"/>
                <w:szCs w:val="24"/>
              </w:rPr>
              <w:t xml:space="preserve"> (Mosby, 2017)</w:t>
            </w:r>
          </w:p>
        </w:tc>
      </w:tr>
      <w:tr w:rsidR="004D1F76" w:rsidRPr="009313C9" w14:paraId="52214866" w14:textId="77777777" w:rsidTr="00187C4D">
        <w:trPr>
          <w:trHeight w:val="800"/>
        </w:trPr>
        <w:tc>
          <w:tcPr>
            <w:tcW w:w="265" w:type="dxa"/>
          </w:tcPr>
          <w:p w14:paraId="4222F34B" w14:textId="77777777" w:rsidR="004D1F76" w:rsidRPr="009313C9" w:rsidRDefault="004D1F76" w:rsidP="007830E8">
            <w:pPr>
              <w:rPr>
                <w:rFonts w:ascii="Times New Roman" w:hAnsi="Times New Roman" w:cs="Times New Roman"/>
                <w:bCs/>
                <w:sz w:val="24"/>
                <w:szCs w:val="24"/>
              </w:rPr>
            </w:pPr>
          </w:p>
        </w:tc>
        <w:tc>
          <w:tcPr>
            <w:tcW w:w="2670" w:type="dxa"/>
          </w:tcPr>
          <w:p w14:paraId="51DC5F49" w14:textId="77777777" w:rsidR="004D1F76" w:rsidRPr="009313C9" w:rsidRDefault="00701D6B" w:rsidP="007830E8">
            <w:pPr>
              <w:rPr>
                <w:rFonts w:ascii="Times New Roman" w:hAnsi="Times New Roman" w:cs="Times New Roman"/>
                <w:bCs/>
                <w:sz w:val="24"/>
                <w:szCs w:val="24"/>
              </w:rPr>
            </w:pPr>
            <w:r w:rsidRPr="009313C9">
              <w:rPr>
                <w:rFonts w:ascii="Times New Roman" w:hAnsi="Times New Roman" w:cs="Times New Roman"/>
                <w:bCs/>
                <w:sz w:val="24"/>
                <w:szCs w:val="24"/>
              </w:rPr>
              <w:t>Cost/Compliance</w:t>
            </w:r>
          </w:p>
        </w:tc>
        <w:tc>
          <w:tcPr>
            <w:tcW w:w="7050" w:type="dxa"/>
          </w:tcPr>
          <w:p w14:paraId="0B130EA9" w14:textId="77777777" w:rsidR="00FD0D57" w:rsidRDefault="002B6A38" w:rsidP="00FD0D57">
            <w:pPr>
              <w:pStyle w:val="ListParagraph"/>
              <w:numPr>
                <w:ilvl w:val="0"/>
                <w:numId w:val="16"/>
              </w:numPr>
              <w:rPr>
                <w:rFonts w:ascii="Times New Roman" w:hAnsi="Times New Roman" w:cs="Times New Roman"/>
                <w:bCs/>
                <w:sz w:val="24"/>
                <w:szCs w:val="24"/>
              </w:rPr>
            </w:pPr>
            <w:r>
              <w:rPr>
                <w:rFonts w:ascii="Times New Roman" w:hAnsi="Times New Roman" w:cs="Times New Roman"/>
                <w:bCs/>
                <w:sz w:val="24"/>
                <w:szCs w:val="24"/>
              </w:rPr>
              <w:t xml:space="preserve">Bumetanide: </w:t>
            </w:r>
            <w:r w:rsidR="00562808">
              <w:rPr>
                <w:rFonts w:ascii="Times New Roman" w:hAnsi="Times New Roman" w:cs="Times New Roman"/>
                <w:bCs/>
                <w:sz w:val="24"/>
                <w:szCs w:val="24"/>
              </w:rPr>
              <w:t xml:space="preserve">Average costs out of pocket for generic bumetanide according to </w:t>
            </w:r>
            <w:proofErr w:type="spellStart"/>
            <w:r w:rsidR="00562808">
              <w:rPr>
                <w:rFonts w:ascii="Times New Roman" w:hAnsi="Times New Roman" w:cs="Times New Roman"/>
                <w:bCs/>
                <w:sz w:val="24"/>
                <w:szCs w:val="24"/>
              </w:rPr>
              <w:t>GoodRx</w:t>
            </w:r>
            <w:proofErr w:type="spellEnd"/>
            <w:r w:rsidR="00562808">
              <w:rPr>
                <w:rFonts w:ascii="Times New Roman" w:hAnsi="Times New Roman" w:cs="Times New Roman"/>
                <w:bCs/>
                <w:sz w:val="24"/>
                <w:szCs w:val="24"/>
              </w:rPr>
              <w:t xml:space="preserve"> (2023) are around $30/ month. This drug is formulary for many insurances. </w:t>
            </w:r>
          </w:p>
          <w:p w14:paraId="202A2747" w14:textId="134CF9AD" w:rsidR="007F21F5" w:rsidRPr="00FD0D57" w:rsidRDefault="007F21F5" w:rsidP="00FD0D57">
            <w:pPr>
              <w:pStyle w:val="ListParagraph"/>
              <w:numPr>
                <w:ilvl w:val="0"/>
                <w:numId w:val="16"/>
              </w:numPr>
              <w:rPr>
                <w:rFonts w:ascii="Times New Roman" w:hAnsi="Times New Roman" w:cs="Times New Roman"/>
                <w:bCs/>
                <w:sz w:val="24"/>
                <w:szCs w:val="24"/>
              </w:rPr>
            </w:pPr>
            <w:r w:rsidRPr="00FD0D57">
              <w:rPr>
                <w:rFonts w:ascii="Times New Roman" w:hAnsi="Times New Roman" w:cs="Times New Roman"/>
                <w:bCs/>
                <w:sz w:val="24"/>
                <w:szCs w:val="24"/>
              </w:rPr>
              <w:t>Empagliflozin:</w:t>
            </w:r>
            <w:r w:rsidR="004B2A60" w:rsidRPr="00FD0D57">
              <w:rPr>
                <w:rFonts w:ascii="Times New Roman" w:hAnsi="Times New Roman" w:cs="Times New Roman"/>
                <w:bCs/>
                <w:sz w:val="24"/>
                <w:szCs w:val="24"/>
              </w:rPr>
              <w:t xml:space="preserve"> This medication retails for approximately $600/month out of pocket according to </w:t>
            </w:r>
            <w:proofErr w:type="spellStart"/>
            <w:r w:rsidR="004B2A60" w:rsidRPr="00FD0D57">
              <w:rPr>
                <w:rFonts w:ascii="Times New Roman" w:hAnsi="Times New Roman" w:cs="Times New Roman"/>
                <w:bCs/>
                <w:sz w:val="24"/>
                <w:szCs w:val="24"/>
              </w:rPr>
              <w:t>GoodRx</w:t>
            </w:r>
            <w:proofErr w:type="spellEnd"/>
            <w:r w:rsidR="004B2A60" w:rsidRPr="00FD0D57">
              <w:rPr>
                <w:rFonts w:ascii="Times New Roman" w:hAnsi="Times New Roman" w:cs="Times New Roman"/>
                <w:bCs/>
                <w:sz w:val="24"/>
                <w:szCs w:val="24"/>
              </w:rPr>
              <w:t xml:space="preserve"> (2023). This drug may be covered by insurance with a prior authorization.</w:t>
            </w:r>
            <w:r w:rsidR="000839E0" w:rsidRPr="00FD0D57">
              <w:rPr>
                <w:rFonts w:ascii="Times New Roman" w:hAnsi="Times New Roman" w:cs="Times New Roman"/>
                <w:bCs/>
                <w:sz w:val="24"/>
                <w:szCs w:val="24"/>
              </w:rPr>
              <w:t xml:space="preserve"> </w:t>
            </w:r>
            <w:r w:rsidR="000839E0" w:rsidRPr="00FD0D57">
              <w:rPr>
                <w:rFonts w:ascii="Times New Roman" w:hAnsi="Times New Roman" w:cs="Times New Roman"/>
                <w:bCs/>
                <w:sz w:val="24"/>
                <w:szCs w:val="24"/>
              </w:rPr>
              <w:t>(Sizar et al, 2023)</w:t>
            </w:r>
            <w:r w:rsidR="004B2A60" w:rsidRPr="00FD0D57">
              <w:rPr>
                <w:rFonts w:ascii="Times New Roman" w:hAnsi="Times New Roman" w:cs="Times New Roman"/>
                <w:bCs/>
                <w:sz w:val="24"/>
                <w:szCs w:val="24"/>
              </w:rPr>
              <w:t xml:space="preserve"> </w:t>
            </w:r>
          </w:p>
          <w:p w14:paraId="0C318B1D" w14:textId="47980AD3" w:rsidR="007F21F5" w:rsidRPr="007F21F5" w:rsidRDefault="007F21F5" w:rsidP="007F21F5">
            <w:pPr>
              <w:pStyle w:val="ListParagraph"/>
              <w:numPr>
                <w:ilvl w:val="0"/>
                <w:numId w:val="16"/>
              </w:numPr>
              <w:rPr>
                <w:rFonts w:ascii="Times New Roman" w:hAnsi="Times New Roman" w:cs="Times New Roman"/>
                <w:bCs/>
                <w:sz w:val="24"/>
                <w:szCs w:val="24"/>
              </w:rPr>
            </w:pPr>
            <w:r w:rsidRPr="007F21F5">
              <w:rPr>
                <w:rFonts w:ascii="Times New Roman" w:hAnsi="Times New Roman" w:cs="Times New Roman"/>
                <w:bCs/>
                <w:sz w:val="24"/>
                <w:szCs w:val="24"/>
              </w:rPr>
              <w:t>Furosemide:</w:t>
            </w:r>
            <w:r w:rsidR="009D1C5E">
              <w:rPr>
                <w:rFonts w:ascii="Times New Roman" w:hAnsi="Times New Roman" w:cs="Times New Roman"/>
                <w:bCs/>
                <w:sz w:val="24"/>
                <w:szCs w:val="24"/>
              </w:rPr>
              <w:t xml:space="preserve"> This medication is </w:t>
            </w:r>
            <w:r w:rsidR="00231B05">
              <w:rPr>
                <w:rFonts w:ascii="Times New Roman" w:hAnsi="Times New Roman" w:cs="Times New Roman"/>
                <w:bCs/>
                <w:sz w:val="24"/>
                <w:szCs w:val="24"/>
              </w:rPr>
              <w:t xml:space="preserve">the least expensive of the diuretics; a one month supply can be purchased out of pocket for less than $30 at many pharmacies. This drug is formulary with most insurances. </w:t>
            </w:r>
          </w:p>
          <w:p w14:paraId="63B2937A" w14:textId="2553B5D3" w:rsidR="007F21F5" w:rsidRPr="007F21F5" w:rsidRDefault="007F21F5" w:rsidP="007F21F5">
            <w:pPr>
              <w:pStyle w:val="ListParagraph"/>
              <w:numPr>
                <w:ilvl w:val="0"/>
                <w:numId w:val="16"/>
              </w:numPr>
              <w:rPr>
                <w:rFonts w:ascii="Times New Roman" w:hAnsi="Times New Roman" w:cs="Times New Roman"/>
                <w:bCs/>
                <w:sz w:val="24"/>
                <w:szCs w:val="24"/>
              </w:rPr>
            </w:pPr>
            <w:r w:rsidRPr="007F21F5">
              <w:rPr>
                <w:rFonts w:ascii="Times New Roman" w:hAnsi="Times New Roman" w:cs="Times New Roman"/>
                <w:bCs/>
                <w:sz w:val="24"/>
                <w:szCs w:val="24"/>
              </w:rPr>
              <w:t>Metoprolol:</w:t>
            </w:r>
            <w:r w:rsidR="00710B26">
              <w:rPr>
                <w:rFonts w:ascii="Times New Roman" w:hAnsi="Times New Roman" w:cs="Times New Roman"/>
                <w:bCs/>
                <w:sz w:val="24"/>
                <w:szCs w:val="24"/>
              </w:rPr>
              <w:t xml:space="preserve"> </w:t>
            </w:r>
            <w:r w:rsidR="00710B26">
              <w:rPr>
                <w:rFonts w:ascii="Times New Roman" w:hAnsi="Times New Roman" w:cs="Times New Roman"/>
                <w:bCs/>
                <w:sz w:val="24"/>
                <w:szCs w:val="24"/>
              </w:rPr>
              <w:t xml:space="preserve">Metoprolol is formulary with Medicare. Out of pocket costs range from $10-30 per month depending on pharmacy according to Good Rx.com (2023).  </w:t>
            </w:r>
          </w:p>
          <w:p w14:paraId="0E404199" w14:textId="4FC07C29" w:rsidR="00DC530D" w:rsidRPr="007F21F5" w:rsidRDefault="007F21F5" w:rsidP="007F21F5">
            <w:pPr>
              <w:pStyle w:val="ListParagraph"/>
              <w:numPr>
                <w:ilvl w:val="0"/>
                <w:numId w:val="16"/>
              </w:numPr>
              <w:rPr>
                <w:rFonts w:ascii="Times New Roman" w:hAnsi="Times New Roman" w:cs="Times New Roman"/>
                <w:bCs/>
                <w:sz w:val="24"/>
                <w:szCs w:val="24"/>
              </w:rPr>
            </w:pPr>
            <w:r w:rsidRPr="007F21F5">
              <w:rPr>
                <w:rFonts w:ascii="Times New Roman" w:hAnsi="Times New Roman" w:cs="Times New Roman"/>
                <w:bCs/>
                <w:sz w:val="24"/>
                <w:szCs w:val="24"/>
              </w:rPr>
              <w:t>Sacubitril/Valsartan:</w:t>
            </w:r>
            <w:r w:rsidR="00013E79">
              <w:rPr>
                <w:rFonts w:ascii="Times New Roman" w:hAnsi="Times New Roman" w:cs="Times New Roman"/>
                <w:bCs/>
                <w:sz w:val="24"/>
                <w:szCs w:val="24"/>
              </w:rPr>
              <w:t xml:space="preserve"> This medication retails for approximately $650 a month out of pocket according to </w:t>
            </w:r>
            <w:proofErr w:type="spellStart"/>
            <w:r w:rsidR="00013E79">
              <w:rPr>
                <w:rFonts w:ascii="Times New Roman" w:hAnsi="Times New Roman" w:cs="Times New Roman"/>
                <w:bCs/>
                <w:sz w:val="24"/>
                <w:szCs w:val="24"/>
              </w:rPr>
              <w:t>GoodRx</w:t>
            </w:r>
            <w:proofErr w:type="spellEnd"/>
            <w:r w:rsidR="00013E79">
              <w:rPr>
                <w:rFonts w:ascii="Times New Roman" w:hAnsi="Times New Roman" w:cs="Times New Roman"/>
                <w:bCs/>
                <w:sz w:val="24"/>
                <w:szCs w:val="24"/>
              </w:rPr>
              <w:t xml:space="preserve"> (2023). Manufacturer’s coupons are available. May be covered by insurance with a prior authorization. </w:t>
            </w:r>
          </w:p>
        </w:tc>
      </w:tr>
      <w:tr w:rsidR="004D1F76" w:rsidRPr="009313C9" w14:paraId="51841ADD" w14:textId="77777777" w:rsidTr="00187C4D">
        <w:trPr>
          <w:trHeight w:val="2780"/>
        </w:trPr>
        <w:tc>
          <w:tcPr>
            <w:tcW w:w="265" w:type="dxa"/>
          </w:tcPr>
          <w:p w14:paraId="61E34546" w14:textId="77777777" w:rsidR="004D1F76" w:rsidRPr="009313C9" w:rsidRDefault="004D1F76" w:rsidP="007830E8">
            <w:pPr>
              <w:rPr>
                <w:rFonts w:ascii="Times New Roman" w:hAnsi="Times New Roman" w:cs="Times New Roman"/>
                <w:bCs/>
                <w:sz w:val="24"/>
                <w:szCs w:val="24"/>
              </w:rPr>
            </w:pPr>
          </w:p>
        </w:tc>
        <w:tc>
          <w:tcPr>
            <w:tcW w:w="2670" w:type="dxa"/>
          </w:tcPr>
          <w:p w14:paraId="66E56E90" w14:textId="77777777" w:rsidR="004D1F76" w:rsidRPr="009313C9" w:rsidRDefault="00701D6B" w:rsidP="007830E8">
            <w:pPr>
              <w:rPr>
                <w:rFonts w:ascii="Times New Roman" w:hAnsi="Times New Roman" w:cs="Times New Roman"/>
                <w:bCs/>
                <w:sz w:val="24"/>
                <w:szCs w:val="24"/>
              </w:rPr>
            </w:pPr>
            <w:r w:rsidRPr="009313C9">
              <w:rPr>
                <w:rFonts w:ascii="Times New Roman" w:hAnsi="Times New Roman" w:cs="Times New Roman"/>
                <w:bCs/>
                <w:sz w:val="24"/>
                <w:szCs w:val="24"/>
              </w:rPr>
              <w:t>Efficacy</w:t>
            </w:r>
          </w:p>
        </w:tc>
        <w:tc>
          <w:tcPr>
            <w:tcW w:w="7050" w:type="dxa"/>
          </w:tcPr>
          <w:p w14:paraId="4A56C1C7" w14:textId="77777777" w:rsidR="004D1F76" w:rsidRDefault="00244651" w:rsidP="007830E8">
            <w:pPr>
              <w:rPr>
                <w:rFonts w:ascii="Times New Roman" w:hAnsi="Times New Roman" w:cs="Times New Roman"/>
                <w:bCs/>
                <w:sz w:val="24"/>
                <w:szCs w:val="24"/>
              </w:rPr>
            </w:pPr>
            <w:r>
              <w:rPr>
                <w:rFonts w:ascii="Times New Roman" w:hAnsi="Times New Roman" w:cs="Times New Roman"/>
                <w:bCs/>
                <w:sz w:val="24"/>
                <w:szCs w:val="24"/>
              </w:rPr>
              <w:t xml:space="preserve">Efficacy is determined by: </w:t>
            </w:r>
          </w:p>
          <w:p w14:paraId="50E424EE" w14:textId="0EEBBE61" w:rsidR="009C5590" w:rsidRPr="00A16DDE" w:rsidRDefault="00244651" w:rsidP="00A16DDE">
            <w:pPr>
              <w:pStyle w:val="ListParagraph"/>
              <w:numPr>
                <w:ilvl w:val="0"/>
                <w:numId w:val="13"/>
              </w:numPr>
              <w:rPr>
                <w:rFonts w:ascii="Times New Roman" w:hAnsi="Times New Roman" w:cs="Times New Roman"/>
                <w:bCs/>
                <w:sz w:val="24"/>
                <w:szCs w:val="24"/>
              </w:rPr>
            </w:pPr>
            <w:r>
              <w:rPr>
                <w:rFonts w:ascii="Times New Roman" w:hAnsi="Times New Roman" w:cs="Times New Roman"/>
                <w:bCs/>
                <w:sz w:val="24"/>
                <w:szCs w:val="24"/>
              </w:rPr>
              <w:t xml:space="preserve">Patient’s </w:t>
            </w:r>
            <w:r w:rsidR="00A16DDE">
              <w:rPr>
                <w:rFonts w:ascii="Times New Roman" w:hAnsi="Times New Roman" w:cs="Times New Roman"/>
                <w:bCs/>
                <w:sz w:val="24"/>
                <w:szCs w:val="24"/>
              </w:rPr>
              <w:t xml:space="preserve">clinical </w:t>
            </w:r>
            <w:r>
              <w:rPr>
                <w:rFonts w:ascii="Times New Roman" w:hAnsi="Times New Roman" w:cs="Times New Roman"/>
                <w:bCs/>
                <w:sz w:val="24"/>
                <w:szCs w:val="24"/>
              </w:rPr>
              <w:t>status returned to baseline</w:t>
            </w:r>
          </w:p>
          <w:p w14:paraId="465EE004" w14:textId="77777777" w:rsidR="00E71C18" w:rsidRDefault="00E71C18" w:rsidP="00244651">
            <w:pPr>
              <w:pStyle w:val="ListParagraph"/>
              <w:numPr>
                <w:ilvl w:val="0"/>
                <w:numId w:val="13"/>
              </w:numPr>
              <w:rPr>
                <w:rFonts w:ascii="Times New Roman" w:hAnsi="Times New Roman" w:cs="Times New Roman"/>
                <w:bCs/>
                <w:sz w:val="24"/>
                <w:szCs w:val="24"/>
              </w:rPr>
            </w:pPr>
            <w:r>
              <w:rPr>
                <w:rFonts w:ascii="Times New Roman" w:hAnsi="Times New Roman" w:cs="Times New Roman"/>
                <w:bCs/>
                <w:sz w:val="24"/>
                <w:szCs w:val="24"/>
              </w:rPr>
              <w:t>Patient self-reporting of improvement of symptoms</w:t>
            </w:r>
          </w:p>
          <w:p w14:paraId="3C774ADE" w14:textId="77777777" w:rsidR="00E71C18" w:rsidRDefault="00E71C18" w:rsidP="00244651">
            <w:pPr>
              <w:pStyle w:val="ListParagraph"/>
              <w:numPr>
                <w:ilvl w:val="0"/>
                <w:numId w:val="13"/>
              </w:numPr>
              <w:rPr>
                <w:rFonts w:ascii="Times New Roman" w:hAnsi="Times New Roman" w:cs="Times New Roman"/>
                <w:bCs/>
                <w:sz w:val="24"/>
                <w:szCs w:val="24"/>
              </w:rPr>
            </w:pPr>
            <w:r>
              <w:rPr>
                <w:rFonts w:ascii="Times New Roman" w:hAnsi="Times New Roman" w:cs="Times New Roman"/>
                <w:bCs/>
                <w:sz w:val="24"/>
                <w:szCs w:val="24"/>
              </w:rPr>
              <w:t>Prevent</w:t>
            </w:r>
            <w:r w:rsidR="009C5590">
              <w:rPr>
                <w:rFonts w:ascii="Times New Roman" w:hAnsi="Times New Roman" w:cs="Times New Roman"/>
                <w:bCs/>
                <w:sz w:val="24"/>
                <w:szCs w:val="24"/>
              </w:rPr>
              <w:t>ion</w:t>
            </w:r>
            <w:r>
              <w:rPr>
                <w:rFonts w:ascii="Times New Roman" w:hAnsi="Times New Roman" w:cs="Times New Roman"/>
                <w:bCs/>
                <w:sz w:val="24"/>
                <w:szCs w:val="24"/>
              </w:rPr>
              <w:t xml:space="preserve"> of future episodes of acute decompensation </w:t>
            </w:r>
          </w:p>
          <w:p w14:paraId="0ACF65E1" w14:textId="5BBD7001" w:rsidR="009C5590" w:rsidRPr="009C5590" w:rsidRDefault="009C5590" w:rsidP="009C5590">
            <w:pPr>
              <w:pStyle w:val="ListParagraph"/>
              <w:numPr>
                <w:ilvl w:val="0"/>
                <w:numId w:val="13"/>
              </w:numPr>
              <w:rPr>
                <w:rFonts w:ascii="Times New Roman" w:hAnsi="Times New Roman" w:cs="Times New Roman"/>
                <w:bCs/>
                <w:sz w:val="24"/>
                <w:szCs w:val="24"/>
              </w:rPr>
            </w:pPr>
            <w:r>
              <w:rPr>
                <w:rFonts w:ascii="Times New Roman" w:hAnsi="Times New Roman" w:cs="Times New Roman"/>
                <w:bCs/>
                <w:sz w:val="24"/>
                <w:szCs w:val="24"/>
              </w:rPr>
              <w:t>Prevention of disease progression</w:t>
            </w:r>
          </w:p>
        </w:tc>
      </w:tr>
      <w:tr w:rsidR="004D1F76" w:rsidRPr="009313C9" w14:paraId="279A53F6" w14:textId="77777777" w:rsidTr="00187C4D">
        <w:tc>
          <w:tcPr>
            <w:tcW w:w="265" w:type="dxa"/>
          </w:tcPr>
          <w:p w14:paraId="54077DFB" w14:textId="77777777" w:rsidR="004D1F76" w:rsidRPr="009313C9" w:rsidRDefault="004D1F76" w:rsidP="007830E8">
            <w:pPr>
              <w:rPr>
                <w:rFonts w:ascii="Times New Roman" w:hAnsi="Times New Roman" w:cs="Times New Roman"/>
                <w:bCs/>
                <w:sz w:val="24"/>
                <w:szCs w:val="24"/>
              </w:rPr>
            </w:pPr>
          </w:p>
        </w:tc>
        <w:tc>
          <w:tcPr>
            <w:tcW w:w="2670" w:type="dxa"/>
          </w:tcPr>
          <w:p w14:paraId="3E78DD07" w14:textId="77777777" w:rsidR="004D1F76" w:rsidRPr="009313C9" w:rsidRDefault="00701D6B" w:rsidP="007830E8">
            <w:pPr>
              <w:rPr>
                <w:rFonts w:ascii="Times New Roman" w:hAnsi="Times New Roman" w:cs="Times New Roman"/>
                <w:bCs/>
                <w:sz w:val="24"/>
                <w:szCs w:val="24"/>
              </w:rPr>
            </w:pPr>
            <w:r w:rsidRPr="009313C9">
              <w:rPr>
                <w:rFonts w:ascii="Times New Roman" w:hAnsi="Times New Roman" w:cs="Times New Roman"/>
                <w:bCs/>
                <w:sz w:val="24"/>
                <w:szCs w:val="24"/>
              </w:rPr>
              <w:t>Adverse effects</w:t>
            </w:r>
          </w:p>
        </w:tc>
        <w:tc>
          <w:tcPr>
            <w:tcW w:w="7050" w:type="dxa"/>
          </w:tcPr>
          <w:p w14:paraId="7F9D50CC" w14:textId="78B9FDC9" w:rsidR="000839E0" w:rsidRDefault="002B6A38" w:rsidP="000839E0">
            <w:pPr>
              <w:pStyle w:val="ListParagraph"/>
              <w:numPr>
                <w:ilvl w:val="0"/>
                <w:numId w:val="17"/>
              </w:numPr>
              <w:rPr>
                <w:rFonts w:ascii="Times New Roman" w:hAnsi="Times New Roman" w:cs="Times New Roman"/>
                <w:bCs/>
                <w:sz w:val="24"/>
                <w:szCs w:val="24"/>
              </w:rPr>
            </w:pPr>
            <w:r>
              <w:rPr>
                <w:rFonts w:ascii="Times New Roman" w:hAnsi="Times New Roman" w:cs="Times New Roman"/>
                <w:bCs/>
                <w:sz w:val="24"/>
                <w:szCs w:val="24"/>
              </w:rPr>
              <w:t xml:space="preserve">Bumetanide: </w:t>
            </w:r>
            <w:r w:rsidR="003A26A0">
              <w:rPr>
                <w:rFonts w:ascii="Times New Roman" w:hAnsi="Times New Roman" w:cs="Times New Roman"/>
                <w:bCs/>
                <w:sz w:val="24"/>
                <w:szCs w:val="24"/>
              </w:rPr>
              <w:t xml:space="preserve">Increased urinary frequency, orthostatic hypotension. Occasionally blurry vision, diarrhea, headache, anorexia, impotence, indigestion, premature ejaculation, rash, muscle cramps. Severe reaction may include electrolyte abnormalities, ototoxicity, blood dyscrasias, severe hypotension. </w:t>
            </w:r>
            <w:r w:rsidR="00643EE4">
              <w:rPr>
                <w:rFonts w:ascii="Times New Roman" w:hAnsi="Times New Roman" w:cs="Times New Roman"/>
                <w:bCs/>
                <w:sz w:val="24"/>
                <w:szCs w:val="24"/>
              </w:rPr>
              <w:t>(Mosby, 2017)</w:t>
            </w:r>
          </w:p>
          <w:p w14:paraId="26F4723B" w14:textId="698071DE" w:rsidR="007F21F5" w:rsidRPr="000839E0" w:rsidRDefault="007F21F5" w:rsidP="000839E0">
            <w:pPr>
              <w:pStyle w:val="ListParagraph"/>
              <w:numPr>
                <w:ilvl w:val="0"/>
                <w:numId w:val="17"/>
              </w:numPr>
              <w:rPr>
                <w:rFonts w:ascii="Times New Roman" w:hAnsi="Times New Roman" w:cs="Times New Roman"/>
                <w:bCs/>
                <w:sz w:val="24"/>
                <w:szCs w:val="24"/>
              </w:rPr>
            </w:pPr>
            <w:r w:rsidRPr="000839E0">
              <w:rPr>
                <w:rFonts w:ascii="Times New Roman" w:hAnsi="Times New Roman" w:cs="Times New Roman"/>
                <w:bCs/>
                <w:sz w:val="24"/>
                <w:szCs w:val="24"/>
              </w:rPr>
              <w:t>Empagliflozin:</w:t>
            </w:r>
            <w:r w:rsidR="00D533E5" w:rsidRPr="000839E0">
              <w:rPr>
                <w:rFonts w:ascii="Times New Roman" w:hAnsi="Times New Roman" w:cs="Times New Roman"/>
                <w:bCs/>
                <w:sz w:val="24"/>
                <w:szCs w:val="24"/>
              </w:rPr>
              <w:t xml:space="preserve"> Hypovolemia, increased r/f fungal infections and Fournier gangrene, ketoacidosis, renal or hepatic impairment.</w:t>
            </w:r>
            <w:r w:rsidR="000839E0" w:rsidRPr="000839E0">
              <w:rPr>
                <w:rFonts w:ascii="Times New Roman" w:hAnsi="Times New Roman" w:cs="Times New Roman"/>
                <w:bCs/>
                <w:sz w:val="24"/>
                <w:szCs w:val="24"/>
              </w:rPr>
              <w:t xml:space="preserve"> </w:t>
            </w:r>
            <w:r w:rsidR="000839E0" w:rsidRPr="000839E0">
              <w:rPr>
                <w:rFonts w:ascii="Times New Roman" w:hAnsi="Times New Roman" w:cs="Times New Roman"/>
                <w:bCs/>
                <w:sz w:val="24"/>
                <w:szCs w:val="24"/>
              </w:rPr>
              <w:t>(Sizar et al, 2023)</w:t>
            </w:r>
            <w:r w:rsidR="00D533E5" w:rsidRPr="000839E0">
              <w:rPr>
                <w:rFonts w:ascii="Times New Roman" w:hAnsi="Times New Roman" w:cs="Times New Roman"/>
                <w:bCs/>
                <w:sz w:val="24"/>
                <w:szCs w:val="24"/>
              </w:rPr>
              <w:t xml:space="preserve"> </w:t>
            </w:r>
          </w:p>
          <w:p w14:paraId="0ACEF8F6" w14:textId="6DD6DA30" w:rsidR="007F21F5" w:rsidRPr="00895493" w:rsidRDefault="007F21F5" w:rsidP="00895493">
            <w:pPr>
              <w:pStyle w:val="ListParagraph"/>
              <w:numPr>
                <w:ilvl w:val="0"/>
                <w:numId w:val="17"/>
              </w:numPr>
              <w:rPr>
                <w:rFonts w:ascii="Times New Roman" w:hAnsi="Times New Roman" w:cs="Times New Roman"/>
                <w:bCs/>
                <w:sz w:val="24"/>
                <w:szCs w:val="24"/>
              </w:rPr>
            </w:pPr>
            <w:r w:rsidRPr="007F21F5">
              <w:rPr>
                <w:rFonts w:ascii="Times New Roman" w:hAnsi="Times New Roman" w:cs="Times New Roman"/>
                <w:bCs/>
                <w:sz w:val="24"/>
                <w:szCs w:val="24"/>
              </w:rPr>
              <w:t>Furosemide:</w:t>
            </w:r>
            <w:r w:rsidR="00520B66">
              <w:rPr>
                <w:rFonts w:ascii="Times New Roman" w:hAnsi="Times New Roman" w:cs="Times New Roman"/>
                <w:bCs/>
                <w:sz w:val="24"/>
                <w:szCs w:val="24"/>
              </w:rPr>
              <w:t xml:space="preserve"> Increased urinary frequency, orthostatic hypotension, headache, blurred vision, photosensitivity, bladder spasm, flank pain. </w:t>
            </w:r>
            <w:r w:rsidR="00895493">
              <w:rPr>
                <w:rFonts w:ascii="Times New Roman" w:hAnsi="Times New Roman" w:cs="Times New Roman"/>
                <w:bCs/>
                <w:sz w:val="24"/>
                <w:szCs w:val="24"/>
              </w:rPr>
              <w:t xml:space="preserve">Severe reaction may include electrolyte abnormalities, ototoxicity, blood dyscrasias, severe hypotension. </w:t>
            </w:r>
            <w:r w:rsidR="00643EE4">
              <w:rPr>
                <w:rFonts w:ascii="Times New Roman" w:hAnsi="Times New Roman" w:cs="Times New Roman"/>
                <w:bCs/>
                <w:sz w:val="24"/>
                <w:szCs w:val="24"/>
              </w:rPr>
              <w:t>(Mosby, 2017)</w:t>
            </w:r>
          </w:p>
          <w:p w14:paraId="41319955" w14:textId="557F0A5A" w:rsidR="007F21F5" w:rsidRPr="007F21F5" w:rsidRDefault="007F21F5" w:rsidP="007F21F5">
            <w:pPr>
              <w:pStyle w:val="ListParagraph"/>
              <w:numPr>
                <w:ilvl w:val="0"/>
                <w:numId w:val="17"/>
              </w:numPr>
              <w:rPr>
                <w:rFonts w:ascii="Times New Roman" w:hAnsi="Times New Roman" w:cs="Times New Roman"/>
                <w:bCs/>
                <w:sz w:val="24"/>
                <w:szCs w:val="24"/>
              </w:rPr>
            </w:pPr>
            <w:r w:rsidRPr="007F21F5">
              <w:rPr>
                <w:rFonts w:ascii="Times New Roman" w:hAnsi="Times New Roman" w:cs="Times New Roman"/>
                <w:bCs/>
                <w:sz w:val="24"/>
                <w:szCs w:val="24"/>
              </w:rPr>
              <w:t>Metoprolol:</w:t>
            </w:r>
            <w:r w:rsidR="00C07138">
              <w:rPr>
                <w:rFonts w:ascii="Times New Roman" w:hAnsi="Times New Roman" w:cs="Times New Roman"/>
                <w:bCs/>
                <w:sz w:val="24"/>
                <w:szCs w:val="24"/>
              </w:rPr>
              <w:t xml:space="preserve"> </w:t>
            </w:r>
            <w:r w:rsidR="00C07138">
              <w:rPr>
                <w:rFonts w:ascii="Times New Roman" w:hAnsi="Times New Roman" w:cs="Times New Roman"/>
                <w:bCs/>
                <w:sz w:val="24"/>
                <w:szCs w:val="24"/>
              </w:rPr>
              <w:t xml:space="preserve">Adverse effects include bradycardia, heart failure, pulmonary edema, hypotension, peripheral vasoconstriction, rash, blurry vision, stuffy nose, unstable BG, GI upset, drug-induced hepatitis, elevated liver enzymes, erectile dysfunction </w:t>
            </w:r>
            <w:r w:rsidR="00C07138">
              <w:rPr>
                <w:rFonts w:ascii="Times New Roman" w:hAnsi="Times New Roman" w:cs="Times New Roman"/>
                <w:bCs/>
                <w:sz w:val="24"/>
                <w:szCs w:val="24"/>
              </w:rPr>
              <w:lastRenderedPageBreak/>
              <w:t>(common), urinary frequency, arthralgia and joint pain, fatigue (common), weakness, anxiety, dizziness, mental status changes, bronchospasm, wheezing, drug-induced lupus syndrome. (Davis, 2023)</w:t>
            </w:r>
          </w:p>
          <w:p w14:paraId="3DC41D06" w14:textId="68A905C7" w:rsidR="00DC530D" w:rsidRPr="007F21F5" w:rsidRDefault="007F21F5" w:rsidP="007F21F5">
            <w:pPr>
              <w:pStyle w:val="ListParagraph"/>
              <w:numPr>
                <w:ilvl w:val="0"/>
                <w:numId w:val="17"/>
              </w:numPr>
              <w:rPr>
                <w:rFonts w:ascii="Times New Roman" w:hAnsi="Times New Roman" w:cs="Times New Roman"/>
                <w:bCs/>
                <w:sz w:val="24"/>
                <w:szCs w:val="24"/>
              </w:rPr>
            </w:pPr>
            <w:r w:rsidRPr="007F21F5">
              <w:rPr>
                <w:rFonts w:ascii="Times New Roman" w:hAnsi="Times New Roman" w:cs="Times New Roman"/>
                <w:bCs/>
                <w:sz w:val="24"/>
                <w:szCs w:val="24"/>
              </w:rPr>
              <w:t>Sacubitril/Valsartan:</w:t>
            </w:r>
            <w:r w:rsidR="00D54882">
              <w:rPr>
                <w:rFonts w:ascii="Times New Roman" w:hAnsi="Times New Roman" w:cs="Times New Roman"/>
                <w:bCs/>
                <w:sz w:val="24"/>
                <w:szCs w:val="24"/>
              </w:rPr>
              <w:t xml:space="preserve"> hypotension, hyperkalemia, renal impairment, angioedema. </w:t>
            </w:r>
            <w:r w:rsidR="00643EE4">
              <w:rPr>
                <w:rFonts w:ascii="Times New Roman" w:hAnsi="Times New Roman" w:cs="Times New Roman"/>
                <w:bCs/>
                <w:sz w:val="24"/>
                <w:szCs w:val="24"/>
              </w:rPr>
              <w:t>(Mosby, 2017)</w:t>
            </w:r>
          </w:p>
        </w:tc>
      </w:tr>
      <w:tr w:rsidR="007830E8" w:rsidRPr="009313C9" w14:paraId="42DA9E5A" w14:textId="77777777" w:rsidTr="00701D6B">
        <w:tblPrEx>
          <w:tblLook w:val="0000" w:firstRow="0" w:lastRow="0" w:firstColumn="0" w:lastColumn="0" w:noHBand="0" w:noVBand="0"/>
        </w:tblPrEx>
        <w:trPr>
          <w:trHeight w:val="1412"/>
        </w:trPr>
        <w:tc>
          <w:tcPr>
            <w:tcW w:w="9985" w:type="dxa"/>
            <w:gridSpan w:val="3"/>
          </w:tcPr>
          <w:p w14:paraId="6693C39B" w14:textId="77777777" w:rsidR="00701D6B" w:rsidRPr="009313C9" w:rsidRDefault="00701D6B" w:rsidP="007830E8">
            <w:pPr>
              <w:rPr>
                <w:rFonts w:ascii="Times New Roman" w:hAnsi="Times New Roman" w:cs="Times New Roman"/>
                <w:bCs/>
                <w:sz w:val="24"/>
                <w:szCs w:val="24"/>
              </w:rPr>
            </w:pPr>
          </w:p>
          <w:p w14:paraId="4DC3F6D6" w14:textId="78112840" w:rsidR="00701D6B" w:rsidRPr="009313C9" w:rsidRDefault="00666C48" w:rsidP="007830E8">
            <w:pPr>
              <w:rPr>
                <w:rFonts w:ascii="Times New Roman" w:hAnsi="Times New Roman" w:cs="Times New Roman"/>
                <w:bCs/>
                <w:sz w:val="24"/>
                <w:szCs w:val="24"/>
              </w:rPr>
            </w:pPr>
            <w:r w:rsidRPr="009313C9">
              <w:rPr>
                <w:rFonts w:ascii="Times New Roman" w:hAnsi="Times New Roman" w:cs="Times New Roman"/>
                <w:bCs/>
                <w:sz w:val="24"/>
                <w:szCs w:val="24"/>
              </w:rPr>
              <w:t>Considering the step-wise process above</w:t>
            </w:r>
            <w:r w:rsidR="00A16DDE">
              <w:rPr>
                <w:rFonts w:ascii="Times New Roman" w:hAnsi="Times New Roman" w:cs="Times New Roman"/>
                <w:bCs/>
                <w:sz w:val="24"/>
                <w:szCs w:val="24"/>
              </w:rPr>
              <w:t xml:space="preserve">, </w:t>
            </w:r>
            <w:r w:rsidR="00B16DB4">
              <w:rPr>
                <w:rFonts w:ascii="Times New Roman" w:hAnsi="Times New Roman" w:cs="Times New Roman"/>
                <w:bCs/>
                <w:sz w:val="24"/>
                <w:szCs w:val="24"/>
              </w:rPr>
              <w:t xml:space="preserve">increasing the patient’s dosage of furosemide, </w:t>
            </w:r>
            <w:r w:rsidR="001062E1">
              <w:rPr>
                <w:rFonts w:ascii="Times New Roman" w:hAnsi="Times New Roman" w:cs="Times New Roman"/>
                <w:bCs/>
                <w:sz w:val="24"/>
                <w:szCs w:val="24"/>
              </w:rPr>
              <w:t xml:space="preserve">transitioning patient from valsartan to </w:t>
            </w:r>
            <w:r w:rsidR="00C26EEC">
              <w:rPr>
                <w:rFonts w:ascii="Times New Roman" w:hAnsi="Times New Roman" w:cs="Times New Roman"/>
                <w:bCs/>
                <w:sz w:val="24"/>
                <w:szCs w:val="24"/>
              </w:rPr>
              <w:t>s</w:t>
            </w:r>
            <w:r w:rsidR="001062E1" w:rsidRPr="000D1728">
              <w:rPr>
                <w:rFonts w:ascii="Times New Roman" w:eastAsia="Times New Roman" w:hAnsi="Times New Roman" w:cs="Times New Roman"/>
                <w:sz w:val="24"/>
                <w:szCs w:val="24"/>
              </w:rPr>
              <w:t>acubitril/valsartan</w:t>
            </w:r>
            <w:r w:rsidR="001062E1">
              <w:rPr>
                <w:rFonts w:ascii="Times New Roman" w:hAnsi="Times New Roman" w:cs="Times New Roman"/>
                <w:bCs/>
                <w:sz w:val="24"/>
                <w:szCs w:val="24"/>
              </w:rPr>
              <w:t>,</w:t>
            </w:r>
            <w:r w:rsidR="00C26EEC">
              <w:rPr>
                <w:rFonts w:ascii="Times New Roman" w:hAnsi="Times New Roman" w:cs="Times New Roman"/>
                <w:bCs/>
                <w:sz w:val="24"/>
                <w:szCs w:val="24"/>
              </w:rPr>
              <w:t xml:space="preserve"> and initiating therapy with metoprolol and </w:t>
            </w:r>
            <w:r w:rsidR="00F215B9">
              <w:rPr>
                <w:rFonts w:ascii="Times New Roman" w:hAnsi="Times New Roman" w:cs="Times New Roman"/>
                <w:bCs/>
                <w:sz w:val="24"/>
                <w:szCs w:val="24"/>
              </w:rPr>
              <w:t>empagliflozin,</w:t>
            </w:r>
            <w:r w:rsidR="001062E1">
              <w:rPr>
                <w:rFonts w:ascii="Times New Roman" w:hAnsi="Times New Roman" w:cs="Times New Roman"/>
                <w:bCs/>
                <w:sz w:val="24"/>
                <w:szCs w:val="24"/>
              </w:rPr>
              <w:t xml:space="preserve"> </w:t>
            </w:r>
            <w:r w:rsidR="007559CD">
              <w:rPr>
                <w:rFonts w:ascii="Times New Roman" w:hAnsi="Times New Roman" w:cs="Times New Roman"/>
                <w:bCs/>
                <w:sz w:val="24"/>
                <w:szCs w:val="24"/>
              </w:rPr>
              <w:t xml:space="preserve"> </w:t>
            </w:r>
            <w:r w:rsidRPr="009313C9">
              <w:rPr>
                <w:rFonts w:ascii="Times New Roman" w:hAnsi="Times New Roman" w:cs="Times New Roman"/>
                <w:bCs/>
                <w:sz w:val="24"/>
                <w:szCs w:val="24"/>
              </w:rPr>
              <w:t>is determined as the most appropriate alternative for this case, as other therapeutic alternatives have been ruled out.</w:t>
            </w:r>
          </w:p>
          <w:p w14:paraId="71E14E4D" w14:textId="77777777" w:rsidR="00187C4D" w:rsidRPr="009313C9" w:rsidRDefault="00187C4D" w:rsidP="007830E8">
            <w:pPr>
              <w:rPr>
                <w:rFonts w:ascii="Times New Roman" w:hAnsi="Times New Roman" w:cs="Times New Roman"/>
                <w:bCs/>
                <w:sz w:val="24"/>
                <w:szCs w:val="24"/>
              </w:rPr>
            </w:pPr>
          </w:p>
          <w:p w14:paraId="6B85C2A7" w14:textId="77777777" w:rsidR="00187C4D" w:rsidRPr="009313C9" w:rsidRDefault="00187C4D" w:rsidP="007830E8">
            <w:pPr>
              <w:rPr>
                <w:rFonts w:ascii="Times New Roman" w:hAnsi="Times New Roman" w:cs="Times New Roman"/>
                <w:bCs/>
                <w:sz w:val="24"/>
                <w:szCs w:val="24"/>
              </w:rPr>
            </w:pPr>
          </w:p>
          <w:p w14:paraId="0589630D" w14:textId="77777777" w:rsidR="00187C4D" w:rsidRPr="009313C9" w:rsidRDefault="00187C4D" w:rsidP="007830E8">
            <w:pPr>
              <w:rPr>
                <w:rFonts w:ascii="Times New Roman" w:hAnsi="Times New Roman" w:cs="Times New Roman"/>
                <w:bCs/>
                <w:sz w:val="24"/>
                <w:szCs w:val="24"/>
              </w:rPr>
            </w:pPr>
          </w:p>
          <w:p w14:paraId="02A9B03C" w14:textId="77777777" w:rsidR="00187C4D" w:rsidRPr="009313C9" w:rsidRDefault="00187C4D" w:rsidP="007830E8">
            <w:pPr>
              <w:rPr>
                <w:rFonts w:ascii="Times New Roman" w:hAnsi="Times New Roman" w:cs="Times New Roman"/>
                <w:bCs/>
                <w:sz w:val="24"/>
                <w:szCs w:val="24"/>
              </w:rPr>
            </w:pPr>
          </w:p>
        </w:tc>
      </w:tr>
      <w:tr w:rsidR="007830E8" w:rsidRPr="009313C9" w14:paraId="60AEAEC0" w14:textId="77777777" w:rsidTr="00187C4D">
        <w:trPr>
          <w:trHeight w:val="1880"/>
        </w:trPr>
        <w:tc>
          <w:tcPr>
            <w:tcW w:w="265" w:type="dxa"/>
          </w:tcPr>
          <w:p w14:paraId="57F9B125" w14:textId="77777777" w:rsidR="007830E8" w:rsidRPr="009313C9" w:rsidRDefault="007830E8">
            <w:pPr>
              <w:rPr>
                <w:rFonts w:ascii="Times New Roman" w:hAnsi="Times New Roman" w:cs="Times New Roman"/>
                <w:bCs/>
                <w:sz w:val="24"/>
                <w:szCs w:val="24"/>
              </w:rPr>
            </w:pPr>
          </w:p>
          <w:p w14:paraId="210DD01B" w14:textId="77777777" w:rsidR="00187C4D" w:rsidRPr="009313C9" w:rsidRDefault="00187C4D">
            <w:pPr>
              <w:rPr>
                <w:rFonts w:ascii="Times New Roman" w:hAnsi="Times New Roman" w:cs="Times New Roman"/>
                <w:bCs/>
                <w:sz w:val="24"/>
                <w:szCs w:val="24"/>
              </w:rPr>
            </w:pPr>
          </w:p>
          <w:p w14:paraId="29F5525C" w14:textId="77777777" w:rsidR="00701D6B" w:rsidRPr="009313C9" w:rsidRDefault="00701D6B">
            <w:pPr>
              <w:rPr>
                <w:rFonts w:ascii="Times New Roman" w:hAnsi="Times New Roman" w:cs="Times New Roman"/>
                <w:bCs/>
                <w:sz w:val="24"/>
                <w:szCs w:val="24"/>
              </w:rPr>
            </w:pPr>
          </w:p>
        </w:tc>
        <w:tc>
          <w:tcPr>
            <w:tcW w:w="2670" w:type="dxa"/>
          </w:tcPr>
          <w:p w14:paraId="43654FE4" w14:textId="77777777" w:rsidR="007830E8" w:rsidRPr="009313C9" w:rsidRDefault="00701D6B">
            <w:pPr>
              <w:rPr>
                <w:rFonts w:ascii="Times New Roman" w:hAnsi="Times New Roman" w:cs="Times New Roman"/>
                <w:bCs/>
                <w:sz w:val="24"/>
                <w:szCs w:val="24"/>
              </w:rPr>
            </w:pPr>
            <w:r w:rsidRPr="009313C9">
              <w:rPr>
                <w:rFonts w:ascii="Times New Roman" w:hAnsi="Times New Roman" w:cs="Times New Roman"/>
                <w:bCs/>
                <w:sz w:val="24"/>
                <w:szCs w:val="24"/>
              </w:rPr>
              <w:t>Dose/Duration/Direction</w:t>
            </w:r>
          </w:p>
          <w:p w14:paraId="20B6A7B6" w14:textId="77777777" w:rsidR="00A400D0" w:rsidRPr="009313C9" w:rsidRDefault="00A400D0">
            <w:pPr>
              <w:rPr>
                <w:rFonts w:ascii="Times New Roman" w:hAnsi="Times New Roman" w:cs="Times New Roman"/>
                <w:bCs/>
                <w:sz w:val="24"/>
                <w:szCs w:val="24"/>
              </w:rPr>
            </w:pPr>
            <w:r w:rsidRPr="009313C9">
              <w:rPr>
                <w:rFonts w:ascii="Times New Roman" w:hAnsi="Times New Roman" w:cs="Times New Roman"/>
                <w:bCs/>
                <w:sz w:val="24"/>
                <w:szCs w:val="24"/>
              </w:rPr>
              <w:t>Patient Education</w:t>
            </w:r>
          </w:p>
        </w:tc>
        <w:tc>
          <w:tcPr>
            <w:tcW w:w="7050" w:type="dxa"/>
          </w:tcPr>
          <w:p w14:paraId="665C00D8" w14:textId="1ED69BD1" w:rsidR="00554A0E" w:rsidRDefault="00554A0E" w:rsidP="00C45D93">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Bumetanide: 0.5-2 mg each morning</w:t>
            </w:r>
            <w:r w:rsidR="00D26DF5">
              <w:rPr>
                <w:rFonts w:ascii="Times New Roman" w:hAnsi="Times New Roman" w:cs="Times New Roman"/>
                <w:bCs/>
                <w:sz w:val="24"/>
                <w:szCs w:val="24"/>
              </w:rPr>
              <w:t xml:space="preserve"> for treatment of edema</w:t>
            </w:r>
            <w:r>
              <w:rPr>
                <w:rFonts w:ascii="Times New Roman" w:hAnsi="Times New Roman" w:cs="Times New Roman"/>
                <w:bCs/>
                <w:sz w:val="24"/>
                <w:szCs w:val="24"/>
              </w:rPr>
              <w:t>. May repeat every 4 hours.</w:t>
            </w:r>
            <w:r w:rsidR="005A2E94">
              <w:rPr>
                <w:rFonts w:ascii="Times New Roman" w:hAnsi="Times New Roman" w:cs="Times New Roman"/>
                <w:bCs/>
                <w:sz w:val="24"/>
                <w:szCs w:val="24"/>
              </w:rPr>
              <w:t xml:space="preserve"> Take with food. </w:t>
            </w:r>
            <w:r w:rsidR="00643EE4">
              <w:rPr>
                <w:rFonts w:ascii="Times New Roman" w:hAnsi="Times New Roman" w:cs="Times New Roman"/>
                <w:bCs/>
                <w:sz w:val="24"/>
                <w:szCs w:val="24"/>
              </w:rPr>
              <w:t>(Mosby, 2017)</w:t>
            </w:r>
          </w:p>
          <w:p w14:paraId="68BC8BB5" w14:textId="07283C8A" w:rsidR="002B1797" w:rsidRDefault="002B1797" w:rsidP="00C45D93">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Empagliflozin: 10 mg each morning. May take with or without food. </w:t>
            </w:r>
            <w:r w:rsidR="000839E0">
              <w:rPr>
                <w:rFonts w:ascii="Times New Roman" w:hAnsi="Times New Roman" w:cs="Times New Roman"/>
                <w:bCs/>
                <w:sz w:val="24"/>
                <w:szCs w:val="24"/>
              </w:rPr>
              <w:t>(Sizar et al, 2023)</w:t>
            </w:r>
          </w:p>
          <w:p w14:paraId="1A37E52F" w14:textId="1886C4D2" w:rsidR="007E2EAB" w:rsidRDefault="007E2EAB" w:rsidP="00C45D93">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Furosemide: </w:t>
            </w:r>
            <w:r w:rsidR="005749C8">
              <w:rPr>
                <w:rFonts w:ascii="Times New Roman" w:hAnsi="Times New Roman" w:cs="Times New Roman"/>
                <w:bCs/>
                <w:sz w:val="24"/>
                <w:szCs w:val="24"/>
              </w:rPr>
              <w:t>20-</w:t>
            </w:r>
            <w:r w:rsidR="003D3A9D">
              <w:rPr>
                <w:rFonts w:ascii="Times New Roman" w:hAnsi="Times New Roman" w:cs="Times New Roman"/>
                <w:bCs/>
                <w:sz w:val="24"/>
                <w:szCs w:val="24"/>
              </w:rPr>
              <w:t xml:space="preserve">80 mg/dose, may increase by 20-40 q6-8 hours as needed for management of volume </w:t>
            </w:r>
            <w:proofErr w:type="spellStart"/>
            <w:r w:rsidR="003D3A9D">
              <w:rPr>
                <w:rFonts w:ascii="Times New Roman" w:hAnsi="Times New Roman" w:cs="Times New Roman"/>
                <w:bCs/>
                <w:sz w:val="24"/>
                <w:szCs w:val="24"/>
              </w:rPr>
              <w:t>overlaod</w:t>
            </w:r>
            <w:proofErr w:type="spellEnd"/>
            <w:r w:rsidR="003D3A9D">
              <w:rPr>
                <w:rFonts w:ascii="Times New Roman" w:hAnsi="Times New Roman" w:cs="Times New Roman"/>
                <w:bCs/>
                <w:sz w:val="24"/>
                <w:szCs w:val="24"/>
              </w:rPr>
              <w:t xml:space="preserve">. May titrate up to 600 mg/day. </w:t>
            </w:r>
            <w:r w:rsidR="00643EE4">
              <w:rPr>
                <w:rFonts w:ascii="Times New Roman" w:hAnsi="Times New Roman" w:cs="Times New Roman"/>
                <w:bCs/>
                <w:sz w:val="24"/>
                <w:szCs w:val="24"/>
              </w:rPr>
              <w:t>(Mosby, 2017)</w:t>
            </w:r>
          </w:p>
          <w:p w14:paraId="3991AEFD" w14:textId="63B99C02" w:rsidR="007E2EAB" w:rsidRDefault="007E2EAB" w:rsidP="00C45D93">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Metoprolol:</w:t>
            </w:r>
            <w:r w:rsidR="007D1251">
              <w:rPr>
                <w:rFonts w:ascii="Times New Roman" w:hAnsi="Times New Roman" w:cs="Times New Roman"/>
                <w:bCs/>
                <w:sz w:val="24"/>
                <w:szCs w:val="24"/>
              </w:rPr>
              <w:t xml:space="preserve"> </w:t>
            </w:r>
            <w:r w:rsidR="00B96D42">
              <w:rPr>
                <w:rFonts w:ascii="Times New Roman" w:hAnsi="Times New Roman" w:cs="Times New Roman"/>
                <w:bCs/>
                <w:sz w:val="24"/>
                <w:szCs w:val="24"/>
              </w:rPr>
              <w:t>25 mg daily</w:t>
            </w:r>
            <w:r w:rsidR="007D1251">
              <w:rPr>
                <w:rFonts w:ascii="Times New Roman" w:hAnsi="Times New Roman" w:cs="Times New Roman"/>
                <w:bCs/>
                <w:sz w:val="24"/>
                <w:szCs w:val="24"/>
              </w:rPr>
              <w:t>. (Davis, 2023)</w:t>
            </w:r>
          </w:p>
          <w:p w14:paraId="3FF5CCBB" w14:textId="7B6DD917" w:rsidR="00420AE0" w:rsidRDefault="00B7380A" w:rsidP="00C45D93">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Sacubitril/valsartan: Initiate dosing at 24/26 mg twice daily. </w:t>
            </w:r>
            <w:r w:rsidR="00D54882">
              <w:rPr>
                <w:rFonts w:ascii="Times New Roman" w:hAnsi="Times New Roman" w:cs="Times New Roman"/>
                <w:bCs/>
                <w:sz w:val="24"/>
                <w:szCs w:val="24"/>
              </w:rPr>
              <w:t xml:space="preserve"> May take with or without food. </w:t>
            </w:r>
            <w:r w:rsidR="00643EE4">
              <w:rPr>
                <w:rFonts w:ascii="Times New Roman" w:hAnsi="Times New Roman" w:cs="Times New Roman"/>
                <w:bCs/>
                <w:sz w:val="24"/>
                <w:szCs w:val="24"/>
              </w:rPr>
              <w:t>Double every 2-4 weeks for a ta</w:t>
            </w:r>
            <w:r>
              <w:rPr>
                <w:rFonts w:ascii="Times New Roman" w:hAnsi="Times New Roman" w:cs="Times New Roman"/>
                <w:bCs/>
                <w:sz w:val="24"/>
                <w:szCs w:val="24"/>
              </w:rPr>
              <w:t xml:space="preserve">rget dose of 97/103 mg twice daily. </w:t>
            </w:r>
            <w:r w:rsidR="00643EE4">
              <w:rPr>
                <w:rFonts w:ascii="Times New Roman" w:hAnsi="Times New Roman" w:cs="Times New Roman"/>
                <w:bCs/>
                <w:sz w:val="24"/>
                <w:szCs w:val="24"/>
              </w:rPr>
              <w:t>(Mosby, 2017)</w:t>
            </w:r>
          </w:p>
          <w:p w14:paraId="6CE4BB0E" w14:textId="0E97887E" w:rsidR="00AB7086" w:rsidRDefault="00BC0F59" w:rsidP="00C45D93">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Provide patient with </w:t>
            </w:r>
            <w:r w:rsidR="00F445D8">
              <w:rPr>
                <w:rFonts w:ascii="Times New Roman" w:hAnsi="Times New Roman" w:cs="Times New Roman"/>
                <w:bCs/>
                <w:sz w:val="24"/>
                <w:szCs w:val="24"/>
              </w:rPr>
              <w:t xml:space="preserve">AHA </w:t>
            </w:r>
            <w:proofErr w:type="spellStart"/>
            <w:r w:rsidR="00F445D8">
              <w:rPr>
                <w:rFonts w:ascii="Times New Roman" w:hAnsi="Times New Roman" w:cs="Times New Roman"/>
                <w:bCs/>
                <w:sz w:val="24"/>
                <w:szCs w:val="24"/>
              </w:rPr>
              <w:t>self check</w:t>
            </w:r>
            <w:proofErr w:type="spellEnd"/>
            <w:r w:rsidR="00F445D8">
              <w:rPr>
                <w:rFonts w:ascii="Times New Roman" w:hAnsi="Times New Roman" w:cs="Times New Roman"/>
                <w:bCs/>
                <w:sz w:val="24"/>
                <w:szCs w:val="24"/>
              </w:rPr>
              <w:t xml:space="preserve"> plan to monitor symptoms of CHF.</w:t>
            </w:r>
            <w:r w:rsidR="0018434D">
              <w:t xml:space="preserve"> </w:t>
            </w:r>
            <w:hyperlink r:id="rId7" w:history="1">
              <w:r w:rsidR="0018434D" w:rsidRPr="005B1C62">
                <w:rPr>
                  <w:rStyle w:val="Hyperlink"/>
                  <w:rFonts w:ascii="Times New Roman" w:hAnsi="Times New Roman" w:cs="Times New Roman"/>
                  <w:bCs/>
                  <w:sz w:val="24"/>
                  <w:szCs w:val="24"/>
                </w:rPr>
                <w:t>https://www.heart.org/-/media/files/health-topics/heart-failure/hf-symptom-tracker.pdf</w:t>
              </w:r>
            </w:hyperlink>
            <w:r w:rsidR="0018434D">
              <w:rPr>
                <w:rFonts w:ascii="Times New Roman" w:hAnsi="Times New Roman" w:cs="Times New Roman"/>
                <w:bCs/>
                <w:sz w:val="24"/>
                <w:szCs w:val="24"/>
              </w:rPr>
              <w:t xml:space="preserve"> </w:t>
            </w:r>
            <w:r w:rsidR="00F445D8">
              <w:rPr>
                <w:rFonts w:ascii="Times New Roman" w:hAnsi="Times New Roman" w:cs="Times New Roman"/>
                <w:bCs/>
                <w:sz w:val="24"/>
                <w:szCs w:val="24"/>
              </w:rPr>
              <w:t xml:space="preserve"> </w:t>
            </w:r>
          </w:p>
          <w:p w14:paraId="4C1BA31B" w14:textId="7F887B72" w:rsidR="00247686" w:rsidRDefault="00247686" w:rsidP="00C45D93">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Provide patient with AHA guide to reducing dietary sodium: </w:t>
            </w:r>
            <w:hyperlink r:id="rId8" w:history="1">
              <w:r w:rsidRPr="005B1C62">
                <w:rPr>
                  <w:rStyle w:val="Hyperlink"/>
                  <w:rFonts w:ascii="Times New Roman" w:hAnsi="Times New Roman" w:cs="Times New Roman"/>
                  <w:bCs/>
                  <w:sz w:val="24"/>
                  <w:szCs w:val="24"/>
                </w:rPr>
                <w:t>https://www.heart.org/en/healthy-living/healthy-eating/eat-smart/sodium/how-to-reduce-sodium</w:t>
              </w:r>
            </w:hyperlink>
            <w:r>
              <w:rPr>
                <w:rFonts w:ascii="Times New Roman" w:hAnsi="Times New Roman" w:cs="Times New Roman"/>
                <w:bCs/>
                <w:sz w:val="24"/>
                <w:szCs w:val="24"/>
              </w:rPr>
              <w:t xml:space="preserve"> </w:t>
            </w:r>
          </w:p>
          <w:p w14:paraId="6FBC63C0" w14:textId="3F2B1BE3" w:rsidR="007F21F5" w:rsidRDefault="007F21F5" w:rsidP="00C45D93">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Advise patient to contact her insurance to inquire about a heart failure navigator, as many insurance programs now offer nurse navigators for common chronic conditions that provide support, education and guidance to assist patients in staying out of the hospital. </w:t>
            </w:r>
          </w:p>
          <w:p w14:paraId="12FBFD0B" w14:textId="77777777" w:rsidR="000D092A" w:rsidRDefault="000D092A" w:rsidP="00C45D93">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Educate patient on the importance of r</w:t>
            </w:r>
            <w:r w:rsidR="000670EF">
              <w:rPr>
                <w:rFonts w:ascii="Times New Roman" w:hAnsi="Times New Roman" w:cs="Times New Roman"/>
                <w:bCs/>
                <w:sz w:val="24"/>
                <w:szCs w:val="24"/>
              </w:rPr>
              <w:t xml:space="preserve">eceiving Tdap, COVID 19, influenza and </w:t>
            </w:r>
            <w:r w:rsidR="00A71EF3">
              <w:rPr>
                <w:rFonts w:ascii="Times New Roman" w:hAnsi="Times New Roman" w:cs="Times New Roman"/>
                <w:bCs/>
                <w:sz w:val="24"/>
                <w:szCs w:val="24"/>
              </w:rPr>
              <w:t xml:space="preserve">pneumococcal disease due to increased risk for negative outcomes. </w:t>
            </w:r>
          </w:p>
          <w:p w14:paraId="3460F9D8" w14:textId="77777777" w:rsidR="008662CC" w:rsidRDefault="00B0658D" w:rsidP="00C45D93">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If provider deems patient is safe to do so, advise in the future to take an extra dose of furosemide if they gain more than 2-3 </w:t>
            </w:r>
            <w:proofErr w:type="spellStart"/>
            <w:r>
              <w:rPr>
                <w:rFonts w:ascii="Times New Roman" w:hAnsi="Times New Roman" w:cs="Times New Roman"/>
                <w:bCs/>
                <w:sz w:val="24"/>
                <w:szCs w:val="24"/>
              </w:rPr>
              <w:t>lbs</w:t>
            </w:r>
            <w:proofErr w:type="spellEnd"/>
            <w:r>
              <w:rPr>
                <w:rFonts w:ascii="Times New Roman" w:hAnsi="Times New Roman" w:cs="Times New Roman"/>
                <w:bCs/>
                <w:sz w:val="24"/>
                <w:szCs w:val="24"/>
              </w:rPr>
              <w:t xml:space="preserve"> in a 24 hour period and contact their provider. This can help prevent the need for inpatient monitoring. </w:t>
            </w:r>
          </w:p>
          <w:p w14:paraId="04A3E5EF" w14:textId="6A7838F0" w:rsidR="004648DB" w:rsidRDefault="004648DB" w:rsidP="00C45D93">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Recommend patient check their blood pressure twice daily for at least a week after increasing the dose of furosemide. Review s/s of </w:t>
            </w:r>
            <w:r>
              <w:rPr>
                <w:rFonts w:ascii="Times New Roman" w:hAnsi="Times New Roman" w:cs="Times New Roman"/>
                <w:bCs/>
                <w:sz w:val="24"/>
                <w:szCs w:val="24"/>
              </w:rPr>
              <w:lastRenderedPageBreak/>
              <w:t>orthostatic hypotension and electrolyte imbalance</w:t>
            </w:r>
            <w:r w:rsidR="00CC2B92">
              <w:rPr>
                <w:rFonts w:ascii="Times New Roman" w:hAnsi="Times New Roman" w:cs="Times New Roman"/>
                <w:bCs/>
                <w:sz w:val="24"/>
                <w:szCs w:val="24"/>
              </w:rPr>
              <w:t>, and importance of changing positions slowly</w:t>
            </w:r>
            <w:r>
              <w:rPr>
                <w:rFonts w:ascii="Times New Roman" w:hAnsi="Times New Roman" w:cs="Times New Roman"/>
                <w:bCs/>
                <w:sz w:val="24"/>
                <w:szCs w:val="24"/>
              </w:rPr>
              <w:t xml:space="preserve">. </w:t>
            </w:r>
          </w:p>
          <w:p w14:paraId="09E2E66E" w14:textId="08F4C0F0" w:rsidR="004648DB" w:rsidRPr="009313C9" w:rsidRDefault="004648DB" w:rsidP="00C45D93">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Pt should present to the emergency room if shortness of breath </w:t>
            </w:r>
            <w:r w:rsidR="00DB0A40">
              <w:rPr>
                <w:rFonts w:ascii="Times New Roman" w:hAnsi="Times New Roman" w:cs="Times New Roman"/>
                <w:bCs/>
                <w:sz w:val="24"/>
                <w:szCs w:val="24"/>
              </w:rPr>
              <w:t xml:space="preserve">increases to the point that ADLs are difficult, she experiences acute chest pain, or a loss of consciousness occurs. </w:t>
            </w:r>
          </w:p>
        </w:tc>
      </w:tr>
      <w:tr w:rsidR="007830E8" w:rsidRPr="009313C9" w14:paraId="301022D0" w14:textId="77777777" w:rsidTr="00187C4D">
        <w:trPr>
          <w:trHeight w:val="2510"/>
        </w:trPr>
        <w:tc>
          <w:tcPr>
            <w:tcW w:w="265" w:type="dxa"/>
          </w:tcPr>
          <w:p w14:paraId="2872DCB5" w14:textId="77777777" w:rsidR="007830E8" w:rsidRPr="009313C9" w:rsidRDefault="007830E8">
            <w:pPr>
              <w:rPr>
                <w:rFonts w:ascii="Times New Roman" w:hAnsi="Times New Roman" w:cs="Times New Roman"/>
                <w:bCs/>
                <w:sz w:val="24"/>
                <w:szCs w:val="24"/>
              </w:rPr>
            </w:pPr>
          </w:p>
        </w:tc>
        <w:tc>
          <w:tcPr>
            <w:tcW w:w="2670" w:type="dxa"/>
          </w:tcPr>
          <w:p w14:paraId="5989E73D" w14:textId="77777777" w:rsidR="007830E8" w:rsidRPr="009313C9" w:rsidRDefault="00701D6B">
            <w:pPr>
              <w:rPr>
                <w:rFonts w:ascii="Times New Roman" w:hAnsi="Times New Roman" w:cs="Times New Roman"/>
                <w:bCs/>
                <w:i/>
                <w:sz w:val="24"/>
                <w:szCs w:val="24"/>
              </w:rPr>
            </w:pPr>
            <w:r w:rsidRPr="009313C9">
              <w:rPr>
                <w:rFonts w:ascii="Times New Roman" w:hAnsi="Times New Roman" w:cs="Times New Roman"/>
                <w:bCs/>
                <w:i/>
                <w:sz w:val="24"/>
                <w:szCs w:val="24"/>
              </w:rPr>
              <w:t>Identify what needs to be monitored</w:t>
            </w:r>
          </w:p>
        </w:tc>
        <w:tc>
          <w:tcPr>
            <w:tcW w:w="7050" w:type="dxa"/>
          </w:tcPr>
          <w:p w14:paraId="5643371B" w14:textId="77777777" w:rsidR="00702192" w:rsidRDefault="00526AAB" w:rsidP="00A117FC">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Check CBC and CMP in 2 weeks, and every 1-3 months after depending on patient stability after starting Entresto. </w:t>
            </w:r>
            <w:r w:rsidR="000E1AA0">
              <w:rPr>
                <w:rFonts w:ascii="Times New Roman" w:hAnsi="Times New Roman" w:cs="Times New Roman"/>
                <w:bCs/>
                <w:sz w:val="24"/>
                <w:szCs w:val="24"/>
              </w:rPr>
              <w:t xml:space="preserve">This will also follow the patient’s potassium, which is necessary with furosemide. </w:t>
            </w:r>
          </w:p>
          <w:p w14:paraId="1A79070C" w14:textId="3ABFD395" w:rsidR="00A117FC" w:rsidRPr="00A117FC" w:rsidRDefault="00A117FC" w:rsidP="00A117FC">
            <w:pPr>
              <w:pStyle w:val="ListParagraph"/>
              <w:numPr>
                <w:ilvl w:val="0"/>
                <w:numId w:val="2"/>
              </w:numPr>
              <w:rPr>
                <w:rFonts w:ascii="Times New Roman" w:hAnsi="Times New Roman" w:cs="Times New Roman"/>
                <w:bCs/>
                <w:sz w:val="24"/>
                <w:szCs w:val="24"/>
              </w:rPr>
            </w:pPr>
            <w:r>
              <w:rPr>
                <w:rFonts w:ascii="Times New Roman" w:hAnsi="Times New Roman" w:cs="Times New Roman"/>
                <w:bCs/>
                <w:sz w:val="24"/>
                <w:szCs w:val="24"/>
              </w:rPr>
              <w:t>Check lipid profile prior to initiation of empagliflozin, then annually thereafter</w:t>
            </w:r>
          </w:p>
        </w:tc>
      </w:tr>
    </w:tbl>
    <w:p w14:paraId="76145C07" w14:textId="03D67B55" w:rsidR="00B13647" w:rsidRPr="009313C9" w:rsidRDefault="00B13647">
      <w:pPr>
        <w:rPr>
          <w:rFonts w:ascii="Times New Roman" w:hAnsi="Times New Roman" w:cs="Times New Roman"/>
          <w:bCs/>
          <w:sz w:val="24"/>
          <w:szCs w:val="24"/>
        </w:rPr>
      </w:pPr>
    </w:p>
    <w:p w14:paraId="59228F44" w14:textId="77777777" w:rsidR="00AC5CC9" w:rsidRPr="009313C9" w:rsidRDefault="00AC5CC9" w:rsidP="00643EE4">
      <w:pPr>
        <w:jc w:val="center"/>
        <w:rPr>
          <w:rFonts w:ascii="Times New Roman" w:hAnsi="Times New Roman" w:cs="Times New Roman"/>
          <w:bCs/>
          <w:sz w:val="24"/>
          <w:szCs w:val="24"/>
        </w:rPr>
      </w:pPr>
      <w:r w:rsidRPr="009313C9">
        <w:rPr>
          <w:rFonts w:ascii="Times New Roman" w:hAnsi="Times New Roman" w:cs="Times New Roman"/>
          <w:bCs/>
          <w:sz w:val="24"/>
          <w:szCs w:val="24"/>
        </w:rPr>
        <w:t>References</w:t>
      </w:r>
    </w:p>
    <w:p w14:paraId="086B6631" w14:textId="4AFB19C0" w:rsidR="00B244CC" w:rsidRPr="009313C9" w:rsidRDefault="00B244CC" w:rsidP="00AC5CC9">
      <w:pPr>
        <w:pStyle w:val="NormalWeb"/>
        <w:ind w:left="567" w:hanging="567"/>
        <w:rPr>
          <w:bCs/>
        </w:rPr>
      </w:pPr>
    </w:p>
    <w:p w14:paraId="5F7EE393" w14:textId="799D2767" w:rsidR="00EB7FC6" w:rsidRPr="009313C9" w:rsidRDefault="00EB7FC6" w:rsidP="00AC5CC9">
      <w:pPr>
        <w:pStyle w:val="NormalWeb"/>
        <w:ind w:left="567" w:hanging="567"/>
        <w:rPr>
          <w:bCs/>
        </w:rPr>
      </w:pPr>
      <w:r w:rsidRPr="009313C9">
        <w:rPr>
          <w:bCs/>
        </w:rPr>
        <w:t xml:space="preserve">F.A. Davis. (2023) </w:t>
      </w:r>
      <w:r w:rsidRPr="009313C9">
        <w:rPr>
          <w:bCs/>
          <w:i/>
          <w:iCs/>
        </w:rPr>
        <w:t xml:space="preserve">Davis’s drug guide. </w:t>
      </w:r>
      <w:r w:rsidR="00A62AE9" w:rsidRPr="009313C9">
        <w:rPr>
          <w:bCs/>
        </w:rPr>
        <w:t xml:space="preserve">Unbound medicine. </w:t>
      </w:r>
      <w:hyperlink r:id="rId9" w:history="1">
        <w:r w:rsidR="00A62AE9" w:rsidRPr="009313C9">
          <w:rPr>
            <w:rStyle w:val="Hyperlink"/>
            <w:bCs/>
          </w:rPr>
          <w:t>https://www.drugguide.com/ddo</w:t>
        </w:r>
      </w:hyperlink>
      <w:r w:rsidR="00A62AE9" w:rsidRPr="009313C9">
        <w:rPr>
          <w:bCs/>
        </w:rPr>
        <w:t xml:space="preserve"> </w:t>
      </w:r>
    </w:p>
    <w:p w14:paraId="6D32187C" w14:textId="73746CF6" w:rsidR="00B244CC" w:rsidRDefault="00B244CC" w:rsidP="00AC5CC9">
      <w:pPr>
        <w:pStyle w:val="NormalWeb"/>
        <w:ind w:left="567" w:hanging="567"/>
      </w:pPr>
      <w:proofErr w:type="spellStart"/>
      <w:r w:rsidRPr="009313C9">
        <w:rPr>
          <w:bCs/>
        </w:rPr>
        <w:t>GoodRx</w:t>
      </w:r>
      <w:proofErr w:type="spellEnd"/>
      <w:r w:rsidRPr="009313C9">
        <w:rPr>
          <w:bCs/>
        </w:rPr>
        <w:t xml:space="preserve">. (2023) </w:t>
      </w:r>
      <w:r w:rsidR="00D13E15" w:rsidRPr="009313C9">
        <w:rPr>
          <w:bCs/>
          <w:i/>
          <w:iCs/>
        </w:rPr>
        <w:t xml:space="preserve">. </w:t>
      </w:r>
      <w:r w:rsidR="006168A8">
        <w:rPr>
          <w:bCs/>
          <w:i/>
          <w:iCs/>
        </w:rPr>
        <w:t>Bumetanide</w:t>
      </w:r>
      <w:r w:rsidR="00D13E15" w:rsidRPr="009313C9">
        <w:rPr>
          <w:bCs/>
        </w:rPr>
        <w:t xml:space="preserve">. </w:t>
      </w:r>
      <w:hyperlink r:id="rId10" w:history="1">
        <w:r w:rsidR="006314FC" w:rsidRPr="005B1C62">
          <w:rPr>
            <w:rStyle w:val="Hyperlink"/>
          </w:rPr>
          <w:t>https://www.goodrx.com/bumetanide</w:t>
        </w:r>
      </w:hyperlink>
      <w:r w:rsidR="006314FC">
        <w:t xml:space="preserve"> </w:t>
      </w:r>
    </w:p>
    <w:p w14:paraId="0C8E108A" w14:textId="353AC5FB" w:rsidR="00013E79" w:rsidRPr="009313C9" w:rsidRDefault="00013E79" w:rsidP="00013E79">
      <w:pPr>
        <w:pStyle w:val="NormalWeb"/>
        <w:ind w:left="567" w:hanging="567"/>
        <w:rPr>
          <w:bCs/>
        </w:rPr>
      </w:pPr>
      <w:proofErr w:type="spellStart"/>
      <w:r w:rsidRPr="009313C9">
        <w:rPr>
          <w:bCs/>
        </w:rPr>
        <w:t>GoodRx</w:t>
      </w:r>
      <w:proofErr w:type="spellEnd"/>
      <w:r w:rsidRPr="009313C9">
        <w:rPr>
          <w:bCs/>
        </w:rPr>
        <w:t>. (2023</w:t>
      </w:r>
      <w:r>
        <w:rPr>
          <w:bCs/>
        </w:rPr>
        <w:t xml:space="preserve">). </w:t>
      </w:r>
      <w:r>
        <w:rPr>
          <w:bCs/>
          <w:i/>
          <w:iCs/>
        </w:rPr>
        <w:t>Entresto</w:t>
      </w:r>
      <w:r w:rsidRPr="009313C9">
        <w:rPr>
          <w:bCs/>
          <w:i/>
          <w:iCs/>
        </w:rPr>
        <w:t xml:space="preserve">. </w:t>
      </w:r>
      <w:proofErr w:type="spellStart"/>
      <w:r w:rsidRPr="009313C9">
        <w:rPr>
          <w:bCs/>
        </w:rPr>
        <w:t>GoodRx</w:t>
      </w:r>
      <w:proofErr w:type="spellEnd"/>
      <w:r w:rsidRPr="009313C9">
        <w:rPr>
          <w:bCs/>
        </w:rPr>
        <w:t xml:space="preserve">. </w:t>
      </w:r>
      <w:hyperlink r:id="rId11" w:history="1">
        <w:r w:rsidRPr="005B1C62">
          <w:rPr>
            <w:rStyle w:val="Hyperlink"/>
            <w:bCs/>
          </w:rPr>
          <w:t>https://www.goodrx.com/</w:t>
        </w:r>
        <w:r w:rsidRPr="005B1C62">
          <w:rPr>
            <w:rStyle w:val="Hyperlink"/>
            <w:bCs/>
          </w:rPr>
          <w:t>entresto</w:t>
        </w:r>
      </w:hyperlink>
      <w:r>
        <w:rPr>
          <w:bCs/>
        </w:rPr>
        <w:t xml:space="preserve"> </w:t>
      </w:r>
    </w:p>
    <w:p w14:paraId="455D2A06" w14:textId="198F46AD" w:rsidR="008B01D2" w:rsidRPr="009313C9" w:rsidRDefault="008B01D2" w:rsidP="00AC5CC9">
      <w:pPr>
        <w:pStyle w:val="NormalWeb"/>
        <w:ind w:left="567" w:hanging="567"/>
        <w:rPr>
          <w:bCs/>
        </w:rPr>
      </w:pPr>
      <w:proofErr w:type="spellStart"/>
      <w:r w:rsidRPr="009313C9">
        <w:rPr>
          <w:bCs/>
        </w:rPr>
        <w:t>GoodRx</w:t>
      </w:r>
      <w:proofErr w:type="spellEnd"/>
      <w:r w:rsidRPr="009313C9">
        <w:rPr>
          <w:bCs/>
        </w:rPr>
        <w:t>. (2023</w:t>
      </w:r>
      <w:r w:rsidR="006314FC">
        <w:rPr>
          <w:bCs/>
        </w:rPr>
        <w:t>)</w:t>
      </w:r>
      <w:r w:rsidR="0087216D">
        <w:rPr>
          <w:bCs/>
        </w:rPr>
        <w:t>.</w:t>
      </w:r>
      <w:r w:rsidR="006314FC">
        <w:rPr>
          <w:bCs/>
        </w:rPr>
        <w:t xml:space="preserve"> </w:t>
      </w:r>
      <w:r w:rsidR="006314FC" w:rsidRPr="0087216D">
        <w:rPr>
          <w:bCs/>
          <w:i/>
          <w:iCs/>
        </w:rPr>
        <w:t>Jardiance</w:t>
      </w:r>
      <w:r w:rsidRPr="009313C9">
        <w:rPr>
          <w:bCs/>
          <w:i/>
          <w:iCs/>
        </w:rPr>
        <w:t xml:space="preserve">. </w:t>
      </w:r>
      <w:proofErr w:type="spellStart"/>
      <w:r w:rsidRPr="009313C9">
        <w:rPr>
          <w:bCs/>
        </w:rPr>
        <w:t>GoodRx</w:t>
      </w:r>
      <w:proofErr w:type="spellEnd"/>
      <w:r w:rsidRPr="009313C9">
        <w:rPr>
          <w:bCs/>
        </w:rPr>
        <w:t xml:space="preserve">. </w:t>
      </w:r>
      <w:hyperlink r:id="rId12" w:history="1">
        <w:r w:rsidR="006314FC" w:rsidRPr="005B1C62">
          <w:rPr>
            <w:rStyle w:val="Hyperlink"/>
            <w:bCs/>
          </w:rPr>
          <w:t>https://www.goodrx.com/</w:t>
        </w:r>
      </w:hyperlink>
      <w:r w:rsidR="006314FC">
        <w:rPr>
          <w:rStyle w:val="Hyperlink"/>
          <w:bCs/>
        </w:rPr>
        <w:t>jardiance</w:t>
      </w:r>
      <w:r w:rsidRPr="009313C9">
        <w:rPr>
          <w:bCs/>
        </w:rPr>
        <w:t xml:space="preserve"> </w:t>
      </w:r>
    </w:p>
    <w:p w14:paraId="3A80D90F" w14:textId="77777777" w:rsidR="00E46377" w:rsidRDefault="00E46377" w:rsidP="00E46377">
      <w:pPr>
        <w:pStyle w:val="NormalWeb"/>
        <w:ind w:left="567" w:hanging="567"/>
      </w:pPr>
      <w:r w:rsidRPr="007E4720">
        <w:t xml:space="preserve">Mosby. (2017). </w:t>
      </w:r>
      <w:r w:rsidRPr="007E4720">
        <w:rPr>
          <w:i/>
          <w:iCs/>
        </w:rPr>
        <w:t>Mosby's drug reference for Health Professions - E-Book</w:t>
      </w:r>
      <w:r w:rsidRPr="007E4720">
        <w:t xml:space="preserve">. Mosby. </w:t>
      </w:r>
    </w:p>
    <w:p w14:paraId="3CE4A320" w14:textId="77777777" w:rsidR="00643EE4" w:rsidRDefault="00643EE4" w:rsidP="00643EE4">
      <w:pPr>
        <w:rPr>
          <w:rFonts w:ascii="Times New Roman" w:hAnsi="Times New Roman" w:cs="Times New Roman"/>
          <w:bCs/>
          <w:sz w:val="24"/>
          <w:szCs w:val="24"/>
        </w:rPr>
      </w:pPr>
      <w:r>
        <w:rPr>
          <w:rFonts w:ascii="Times New Roman" w:hAnsi="Times New Roman" w:cs="Times New Roman"/>
          <w:bCs/>
          <w:sz w:val="24"/>
          <w:szCs w:val="24"/>
        </w:rPr>
        <w:t xml:space="preserve">Prescriber’s Letter. (2023 Feb) </w:t>
      </w:r>
      <w:r>
        <w:rPr>
          <w:rFonts w:ascii="Times New Roman" w:hAnsi="Times New Roman" w:cs="Times New Roman"/>
          <w:bCs/>
          <w:i/>
          <w:iCs/>
          <w:sz w:val="24"/>
          <w:szCs w:val="24"/>
        </w:rPr>
        <w:t xml:space="preserve">Improving heart failure care. </w:t>
      </w:r>
      <w:hyperlink r:id="rId13" w:history="1">
        <w:r w:rsidRPr="005B1C62">
          <w:rPr>
            <w:rStyle w:val="Hyperlink"/>
            <w:rFonts w:ascii="Times New Roman" w:hAnsi="Times New Roman" w:cs="Times New Roman"/>
            <w:bCs/>
            <w:sz w:val="24"/>
            <w:szCs w:val="24"/>
          </w:rPr>
          <w:t>https://prescriber.therapeuticresearch.com/Content/Segm</w:t>
        </w:r>
        <w:r w:rsidRPr="005B1C62">
          <w:rPr>
            <w:rStyle w:val="Hyperlink"/>
            <w:rFonts w:ascii="Times New Roman" w:hAnsi="Times New Roman" w:cs="Times New Roman"/>
            <w:bCs/>
            <w:sz w:val="24"/>
            <w:szCs w:val="24"/>
          </w:rPr>
          <w:t>e</w:t>
        </w:r>
        <w:r w:rsidRPr="005B1C62">
          <w:rPr>
            <w:rStyle w:val="Hyperlink"/>
            <w:rFonts w:ascii="Times New Roman" w:hAnsi="Times New Roman" w:cs="Times New Roman"/>
            <w:bCs/>
            <w:sz w:val="24"/>
            <w:szCs w:val="24"/>
          </w:rPr>
          <w:t>nts/PRL/2016/Feb/Improving-Heart-Failure-Care-9375</w:t>
        </w:r>
      </w:hyperlink>
    </w:p>
    <w:p w14:paraId="79118C86" w14:textId="50DE6D5A" w:rsidR="00D72751" w:rsidRPr="00D72751" w:rsidRDefault="00D72751" w:rsidP="00AC5CC9">
      <w:pPr>
        <w:rPr>
          <w:rFonts w:ascii="Times New Roman" w:hAnsi="Times New Roman" w:cs="Times New Roman"/>
          <w:bCs/>
          <w:sz w:val="24"/>
          <w:szCs w:val="24"/>
        </w:rPr>
      </w:pPr>
      <w:r>
        <w:rPr>
          <w:rFonts w:ascii="Times New Roman" w:hAnsi="Times New Roman" w:cs="Times New Roman"/>
          <w:bCs/>
          <w:sz w:val="24"/>
          <w:szCs w:val="24"/>
        </w:rPr>
        <w:t xml:space="preserve">Sizar, O., Podder, V., Talati, R. (2023) </w:t>
      </w:r>
      <w:r>
        <w:rPr>
          <w:rFonts w:ascii="Times New Roman" w:hAnsi="Times New Roman" w:cs="Times New Roman"/>
          <w:bCs/>
          <w:i/>
          <w:iCs/>
          <w:sz w:val="24"/>
          <w:szCs w:val="24"/>
        </w:rPr>
        <w:t xml:space="preserve">Empagliflozin. </w:t>
      </w:r>
      <w:r>
        <w:rPr>
          <w:rFonts w:ascii="Times New Roman" w:hAnsi="Times New Roman" w:cs="Times New Roman"/>
          <w:bCs/>
          <w:sz w:val="24"/>
          <w:szCs w:val="24"/>
        </w:rPr>
        <w:t>N</w:t>
      </w:r>
      <w:r w:rsidR="00FB7C3C">
        <w:rPr>
          <w:rFonts w:ascii="Times New Roman" w:hAnsi="Times New Roman" w:cs="Times New Roman"/>
          <w:bCs/>
          <w:sz w:val="24"/>
          <w:szCs w:val="24"/>
        </w:rPr>
        <w:t xml:space="preserve">ational Library of Medicine. </w:t>
      </w:r>
      <w:hyperlink r:id="rId14" w:history="1">
        <w:r w:rsidR="00FB7C3C" w:rsidRPr="005B1C62">
          <w:rPr>
            <w:rStyle w:val="Hyperlink"/>
            <w:rFonts w:ascii="Times New Roman" w:hAnsi="Times New Roman" w:cs="Times New Roman"/>
            <w:bCs/>
            <w:sz w:val="24"/>
            <w:szCs w:val="24"/>
          </w:rPr>
          <w:t>https://www.ncbi.nlm.nih.gov/books/NBK532925/</w:t>
        </w:r>
      </w:hyperlink>
      <w:r w:rsidR="00FB7C3C">
        <w:rPr>
          <w:rFonts w:ascii="Times New Roman" w:hAnsi="Times New Roman" w:cs="Times New Roman"/>
          <w:bCs/>
          <w:sz w:val="24"/>
          <w:szCs w:val="24"/>
        </w:rPr>
        <w:t xml:space="preserve"> </w:t>
      </w:r>
    </w:p>
    <w:p w14:paraId="30B867D6" w14:textId="25599764" w:rsidR="00AC5CC9" w:rsidRDefault="00AC5CC9" w:rsidP="00AC5CC9">
      <w:pPr>
        <w:rPr>
          <w:rFonts w:ascii="Times New Roman" w:hAnsi="Times New Roman" w:cs="Times New Roman"/>
          <w:bCs/>
          <w:sz w:val="24"/>
          <w:szCs w:val="24"/>
        </w:rPr>
      </w:pPr>
      <w:r w:rsidRPr="009313C9">
        <w:rPr>
          <w:rFonts w:ascii="Times New Roman" w:hAnsi="Times New Roman" w:cs="Times New Roman"/>
          <w:bCs/>
          <w:sz w:val="24"/>
          <w:szCs w:val="24"/>
        </w:rPr>
        <w:t xml:space="preserve">Woo, T., &amp; Robinson, M. (2020) </w:t>
      </w:r>
      <w:r w:rsidRPr="009313C9">
        <w:rPr>
          <w:rFonts w:ascii="Times New Roman" w:hAnsi="Times New Roman" w:cs="Times New Roman"/>
          <w:bCs/>
          <w:i/>
          <w:iCs/>
          <w:sz w:val="24"/>
          <w:szCs w:val="24"/>
        </w:rPr>
        <w:t xml:space="preserve">Pharmacotherapeutics for advanced practice nurse prescribers. </w:t>
      </w:r>
      <w:r w:rsidRPr="009313C9">
        <w:rPr>
          <w:rFonts w:ascii="Times New Roman" w:hAnsi="Times New Roman" w:cs="Times New Roman"/>
          <w:bCs/>
          <w:sz w:val="24"/>
          <w:szCs w:val="24"/>
        </w:rPr>
        <w:t>(5</w:t>
      </w:r>
      <w:r w:rsidRPr="009313C9">
        <w:rPr>
          <w:rFonts w:ascii="Times New Roman" w:hAnsi="Times New Roman" w:cs="Times New Roman"/>
          <w:bCs/>
          <w:sz w:val="24"/>
          <w:szCs w:val="24"/>
          <w:vertAlign w:val="superscript"/>
        </w:rPr>
        <w:t>th</w:t>
      </w:r>
      <w:r w:rsidRPr="009313C9">
        <w:rPr>
          <w:rFonts w:ascii="Times New Roman" w:hAnsi="Times New Roman" w:cs="Times New Roman"/>
          <w:bCs/>
          <w:sz w:val="24"/>
          <w:szCs w:val="24"/>
        </w:rPr>
        <w:t xml:space="preserve"> ed.) F.A. Davis Company.</w:t>
      </w:r>
    </w:p>
    <w:p w14:paraId="4BD61E27" w14:textId="77777777" w:rsidR="00EE61E0" w:rsidRDefault="00EE61E0" w:rsidP="00AC5CC9">
      <w:pPr>
        <w:rPr>
          <w:rFonts w:ascii="Times New Roman" w:hAnsi="Times New Roman" w:cs="Times New Roman"/>
          <w:bCs/>
          <w:sz w:val="24"/>
          <w:szCs w:val="24"/>
        </w:rPr>
      </w:pPr>
    </w:p>
    <w:p w14:paraId="3C089C28" w14:textId="77777777" w:rsidR="0082453A" w:rsidRDefault="0082453A" w:rsidP="00AC5CC9">
      <w:pPr>
        <w:rPr>
          <w:rFonts w:ascii="Times New Roman" w:hAnsi="Times New Roman" w:cs="Times New Roman"/>
          <w:bCs/>
          <w:sz w:val="24"/>
          <w:szCs w:val="24"/>
        </w:rPr>
      </w:pPr>
    </w:p>
    <w:sectPr w:rsidR="0082453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5D6472" w14:textId="77777777" w:rsidR="00A91332" w:rsidRDefault="00A91332" w:rsidP="00E168A5">
      <w:pPr>
        <w:spacing w:after="0" w:line="240" w:lineRule="auto"/>
      </w:pPr>
      <w:r>
        <w:separator/>
      </w:r>
    </w:p>
  </w:endnote>
  <w:endnote w:type="continuationSeparator" w:id="0">
    <w:p w14:paraId="002030C8" w14:textId="77777777" w:rsidR="00A91332" w:rsidRDefault="00A91332" w:rsidP="00E168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95900F" w14:textId="77777777" w:rsidR="00A91332" w:rsidRDefault="00A91332" w:rsidP="00E168A5">
      <w:pPr>
        <w:spacing w:after="0" w:line="240" w:lineRule="auto"/>
      </w:pPr>
      <w:r>
        <w:separator/>
      </w:r>
    </w:p>
  </w:footnote>
  <w:footnote w:type="continuationSeparator" w:id="0">
    <w:p w14:paraId="5084D890" w14:textId="77777777" w:rsidR="00A91332" w:rsidRDefault="00A91332" w:rsidP="00E168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D5D6D"/>
    <w:multiLevelType w:val="hybridMultilevel"/>
    <w:tmpl w:val="A35A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F7FC2"/>
    <w:multiLevelType w:val="hybridMultilevel"/>
    <w:tmpl w:val="079C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07294A"/>
    <w:multiLevelType w:val="hybridMultilevel"/>
    <w:tmpl w:val="8DAED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8E4DCD"/>
    <w:multiLevelType w:val="hybridMultilevel"/>
    <w:tmpl w:val="E048D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195CC1"/>
    <w:multiLevelType w:val="multilevel"/>
    <w:tmpl w:val="63C04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602078"/>
    <w:multiLevelType w:val="hybridMultilevel"/>
    <w:tmpl w:val="5036A3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783479"/>
    <w:multiLevelType w:val="multilevel"/>
    <w:tmpl w:val="A1A81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6149B8"/>
    <w:multiLevelType w:val="multilevel"/>
    <w:tmpl w:val="A7C00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0307CD"/>
    <w:multiLevelType w:val="multilevel"/>
    <w:tmpl w:val="FAD8FB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A1099F"/>
    <w:multiLevelType w:val="multilevel"/>
    <w:tmpl w:val="8D4E5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9CA0779"/>
    <w:multiLevelType w:val="hybridMultilevel"/>
    <w:tmpl w:val="ADD66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A2D72E8"/>
    <w:multiLevelType w:val="hybridMultilevel"/>
    <w:tmpl w:val="198EA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74766FB"/>
    <w:multiLevelType w:val="hybridMultilevel"/>
    <w:tmpl w:val="D068B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0426C28"/>
    <w:multiLevelType w:val="multilevel"/>
    <w:tmpl w:val="EE3AD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1EF23BC"/>
    <w:multiLevelType w:val="hybridMultilevel"/>
    <w:tmpl w:val="5E9E3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40179E"/>
    <w:multiLevelType w:val="multilevel"/>
    <w:tmpl w:val="95B26B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B94799"/>
    <w:multiLevelType w:val="multilevel"/>
    <w:tmpl w:val="F71C8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AAC5B5E"/>
    <w:multiLevelType w:val="multilevel"/>
    <w:tmpl w:val="F9E0C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0494580">
    <w:abstractNumId w:val="1"/>
  </w:num>
  <w:num w:numId="2" w16cid:durableId="948700937">
    <w:abstractNumId w:val="5"/>
  </w:num>
  <w:num w:numId="3" w16cid:durableId="1116558287">
    <w:abstractNumId w:val="0"/>
  </w:num>
  <w:num w:numId="4" w16cid:durableId="1322470452">
    <w:abstractNumId w:val="4"/>
  </w:num>
  <w:num w:numId="5" w16cid:durableId="821511092">
    <w:abstractNumId w:val="13"/>
  </w:num>
  <w:num w:numId="6" w16cid:durableId="1467314906">
    <w:abstractNumId w:val="8"/>
  </w:num>
  <w:num w:numId="7" w16cid:durableId="1546211638">
    <w:abstractNumId w:val="9"/>
  </w:num>
  <w:num w:numId="8" w16cid:durableId="757366216">
    <w:abstractNumId w:val="16"/>
  </w:num>
  <w:num w:numId="9" w16cid:durableId="920410417">
    <w:abstractNumId w:val="6"/>
  </w:num>
  <w:num w:numId="10" w16cid:durableId="467012394">
    <w:abstractNumId w:val="17"/>
  </w:num>
  <w:num w:numId="11" w16cid:durableId="196699445">
    <w:abstractNumId w:val="15"/>
  </w:num>
  <w:num w:numId="12" w16cid:durableId="766268166">
    <w:abstractNumId w:val="7"/>
  </w:num>
  <w:num w:numId="13" w16cid:durableId="120269064">
    <w:abstractNumId w:val="10"/>
  </w:num>
  <w:num w:numId="14" w16cid:durableId="1473402332">
    <w:abstractNumId w:val="2"/>
  </w:num>
  <w:num w:numId="15" w16cid:durableId="1876690989">
    <w:abstractNumId w:val="12"/>
  </w:num>
  <w:num w:numId="16" w16cid:durableId="1618028920">
    <w:abstractNumId w:val="3"/>
  </w:num>
  <w:num w:numId="17" w16cid:durableId="1928339502">
    <w:abstractNumId w:val="11"/>
  </w:num>
  <w:num w:numId="18" w16cid:durableId="42133886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3647"/>
    <w:rsid w:val="00013E79"/>
    <w:rsid w:val="00021FB7"/>
    <w:rsid w:val="00022452"/>
    <w:rsid w:val="000267E4"/>
    <w:rsid w:val="00030195"/>
    <w:rsid w:val="00037CC2"/>
    <w:rsid w:val="00054A7F"/>
    <w:rsid w:val="000626A7"/>
    <w:rsid w:val="00064D6B"/>
    <w:rsid w:val="00066352"/>
    <w:rsid w:val="000670EF"/>
    <w:rsid w:val="000776CF"/>
    <w:rsid w:val="000839E0"/>
    <w:rsid w:val="00095712"/>
    <w:rsid w:val="000C04ED"/>
    <w:rsid w:val="000C0B49"/>
    <w:rsid w:val="000D092A"/>
    <w:rsid w:val="000D1728"/>
    <w:rsid w:val="000D1B76"/>
    <w:rsid w:val="000E1610"/>
    <w:rsid w:val="000E1AA0"/>
    <w:rsid w:val="00102B44"/>
    <w:rsid w:val="001062E1"/>
    <w:rsid w:val="00117158"/>
    <w:rsid w:val="00147337"/>
    <w:rsid w:val="0018434D"/>
    <w:rsid w:val="00187C4D"/>
    <w:rsid w:val="00194CEA"/>
    <w:rsid w:val="001A15ED"/>
    <w:rsid w:val="001A7D9E"/>
    <w:rsid w:val="001B54BF"/>
    <w:rsid w:val="001B6681"/>
    <w:rsid w:val="001D6C1B"/>
    <w:rsid w:val="001D772D"/>
    <w:rsid w:val="001F6273"/>
    <w:rsid w:val="0021621B"/>
    <w:rsid w:val="002167A5"/>
    <w:rsid w:val="00220708"/>
    <w:rsid w:val="00231ABB"/>
    <w:rsid w:val="00231B05"/>
    <w:rsid w:val="00235BB2"/>
    <w:rsid w:val="00244651"/>
    <w:rsid w:val="0024611C"/>
    <w:rsid w:val="00247686"/>
    <w:rsid w:val="00254FCB"/>
    <w:rsid w:val="00255B3E"/>
    <w:rsid w:val="00256AC9"/>
    <w:rsid w:val="002621EE"/>
    <w:rsid w:val="00287D42"/>
    <w:rsid w:val="002927E4"/>
    <w:rsid w:val="0029291A"/>
    <w:rsid w:val="00292CC4"/>
    <w:rsid w:val="002A3F56"/>
    <w:rsid w:val="002A66FD"/>
    <w:rsid w:val="002A6ED3"/>
    <w:rsid w:val="002B1797"/>
    <w:rsid w:val="002B4FD3"/>
    <w:rsid w:val="002B6A38"/>
    <w:rsid w:val="00302900"/>
    <w:rsid w:val="00310CD7"/>
    <w:rsid w:val="003248D2"/>
    <w:rsid w:val="00327651"/>
    <w:rsid w:val="00327A29"/>
    <w:rsid w:val="00335E18"/>
    <w:rsid w:val="00341DAF"/>
    <w:rsid w:val="00341E7F"/>
    <w:rsid w:val="00350CC3"/>
    <w:rsid w:val="00356293"/>
    <w:rsid w:val="003734E1"/>
    <w:rsid w:val="003739CB"/>
    <w:rsid w:val="00381FAF"/>
    <w:rsid w:val="003935E4"/>
    <w:rsid w:val="003966BD"/>
    <w:rsid w:val="003A26A0"/>
    <w:rsid w:val="003A41DB"/>
    <w:rsid w:val="003A5113"/>
    <w:rsid w:val="003B0DAA"/>
    <w:rsid w:val="003C6147"/>
    <w:rsid w:val="003C7F95"/>
    <w:rsid w:val="003D3A9D"/>
    <w:rsid w:val="003E18BD"/>
    <w:rsid w:val="003E66C3"/>
    <w:rsid w:val="00420AE0"/>
    <w:rsid w:val="00440492"/>
    <w:rsid w:val="0045419C"/>
    <w:rsid w:val="00461EBE"/>
    <w:rsid w:val="004648DB"/>
    <w:rsid w:val="00466E96"/>
    <w:rsid w:val="00472223"/>
    <w:rsid w:val="0048286C"/>
    <w:rsid w:val="00484DD4"/>
    <w:rsid w:val="0049124B"/>
    <w:rsid w:val="00495B6A"/>
    <w:rsid w:val="004A4921"/>
    <w:rsid w:val="004A6815"/>
    <w:rsid w:val="004B1A0F"/>
    <w:rsid w:val="004B2A60"/>
    <w:rsid w:val="004B4EB0"/>
    <w:rsid w:val="004D102D"/>
    <w:rsid w:val="004D1F76"/>
    <w:rsid w:val="004D4B3C"/>
    <w:rsid w:val="0051387A"/>
    <w:rsid w:val="00513FEA"/>
    <w:rsid w:val="00520B66"/>
    <w:rsid w:val="00526AAB"/>
    <w:rsid w:val="00526B07"/>
    <w:rsid w:val="005274D3"/>
    <w:rsid w:val="00543107"/>
    <w:rsid w:val="005476E5"/>
    <w:rsid w:val="0054780F"/>
    <w:rsid w:val="00554A0E"/>
    <w:rsid w:val="00562808"/>
    <w:rsid w:val="0057320C"/>
    <w:rsid w:val="005749C8"/>
    <w:rsid w:val="00577BCD"/>
    <w:rsid w:val="005803DA"/>
    <w:rsid w:val="0058374C"/>
    <w:rsid w:val="00590DB6"/>
    <w:rsid w:val="0059539F"/>
    <w:rsid w:val="005A26B3"/>
    <w:rsid w:val="005A2E94"/>
    <w:rsid w:val="005E21FA"/>
    <w:rsid w:val="005E2AA9"/>
    <w:rsid w:val="005F5B6F"/>
    <w:rsid w:val="006035CF"/>
    <w:rsid w:val="006075A8"/>
    <w:rsid w:val="00615F76"/>
    <w:rsid w:val="006168A8"/>
    <w:rsid w:val="0062411B"/>
    <w:rsid w:val="006314FC"/>
    <w:rsid w:val="00631941"/>
    <w:rsid w:val="0063194C"/>
    <w:rsid w:val="00631B13"/>
    <w:rsid w:val="006420BA"/>
    <w:rsid w:val="00643EE4"/>
    <w:rsid w:val="00655C5F"/>
    <w:rsid w:val="006560C3"/>
    <w:rsid w:val="00661A43"/>
    <w:rsid w:val="0066358B"/>
    <w:rsid w:val="00666C48"/>
    <w:rsid w:val="00667821"/>
    <w:rsid w:val="00670273"/>
    <w:rsid w:val="006721F5"/>
    <w:rsid w:val="0068741A"/>
    <w:rsid w:val="006A2631"/>
    <w:rsid w:val="006C121F"/>
    <w:rsid w:val="006F37B5"/>
    <w:rsid w:val="006F38EF"/>
    <w:rsid w:val="00701D6B"/>
    <w:rsid w:val="00702192"/>
    <w:rsid w:val="0070248E"/>
    <w:rsid w:val="00704C02"/>
    <w:rsid w:val="00710B26"/>
    <w:rsid w:val="00715AE2"/>
    <w:rsid w:val="00727AFB"/>
    <w:rsid w:val="00737BF1"/>
    <w:rsid w:val="0074064C"/>
    <w:rsid w:val="007559CD"/>
    <w:rsid w:val="007638A7"/>
    <w:rsid w:val="007649DB"/>
    <w:rsid w:val="00767792"/>
    <w:rsid w:val="007711B8"/>
    <w:rsid w:val="007830E8"/>
    <w:rsid w:val="00786C19"/>
    <w:rsid w:val="007A107D"/>
    <w:rsid w:val="007A216D"/>
    <w:rsid w:val="007A35F5"/>
    <w:rsid w:val="007C6583"/>
    <w:rsid w:val="007D1251"/>
    <w:rsid w:val="007D3C5F"/>
    <w:rsid w:val="007E2EAB"/>
    <w:rsid w:val="007E4720"/>
    <w:rsid w:val="007E5992"/>
    <w:rsid w:val="007F0C1C"/>
    <w:rsid w:val="007F21F5"/>
    <w:rsid w:val="00815CEC"/>
    <w:rsid w:val="0082453A"/>
    <w:rsid w:val="0085765F"/>
    <w:rsid w:val="00864AA8"/>
    <w:rsid w:val="008662CC"/>
    <w:rsid w:val="0087216D"/>
    <w:rsid w:val="00883099"/>
    <w:rsid w:val="00895493"/>
    <w:rsid w:val="008A3D2D"/>
    <w:rsid w:val="008B01D2"/>
    <w:rsid w:val="008B7491"/>
    <w:rsid w:val="008C3DEF"/>
    <w:rsid w:val="008D1F6C"/>
    <w:rsid w:val="00913E96"/>
    <w:rsid w:val="00917B03"/>
    <w:rsid w:val="00926942"/>
    <w:rsid w:val="00930AC3"/>
    <w:rsid w:val="009313C9"/>
    <w:rsid w:val="00934ECA"/>
    <w:rsid w:val="0093740C"/>
    <w:rsid w:val="00954105"/>
    <w:rsid w:val="00954764"/>
    <w:rsid w:val="00975710"/>
    <w:rsid w:val="00985485"/>
    <w:rsid w:val="00994DF6"/>
    <w:rsid w:val="009A4FCC"/>
    <w:rsid w:val="009B343B"/>
    <w:rsid w:val="009C4BD2"/>
    <w:rsid w:val="009C5590"/>
    <w:rsid w:val="009C5FF5"/>
    <w:rsid w:val="009D1C5E"/>
    <w:rsid w:val="009D3041"/>
    <w:rsid w:val="009D7066"/>
    <w:rsid w:val="009F6BFB"/>
    <w:rsid w:val="00A117FC"/>
    <w:rsid w:val="00A13C2F"/>
    <w:rsid w:val="00A16DDE"/>
    <w:rsid w:val="00A2429C"/>
    <w:rsid w:val="00A242BD"/>
    <w:rsid w:val="00A2498B"/>
    <w:rsid w:val="00A276D7"/>
    <w:rsid w:val="00A30217"/>
    <w:rsid w:val="00A3279E"/>
    <w:rsid w:val="00A400D0"/>
    <w:rsid w:val="00A45DB3"/>
    <w:rsid w:val="00A52631"/>
    <w:rsid w:val="00A62AE9"/>
    <w:rsid w:val="00A711EB"/>
    <w:rsid w:val="00A71EF3"/>
    <w:rsid w:val="00A91332"/>
    <w:rsid w:val="00A95719"/>
    <w:rsid w:val="00A96A1B"/>
    <w:rsid w:val="00AB1677"/>
    <w:rsid w:val="00AB7086"/>
    <w:rsid w:val="00AC46BC"/>
    <w:rsid w:val="00AC54EC"/>
    <w:rsid w:val="00AC5CC9"/>
    <w:rsid w:val="00AE2245"/>
    <w:rsid w:val="00AE6C81"/>
    <w:rsid w:val="00AE780D"/>
    <w:rsid w:val="00B04CFE"/>
    <w:rsid w:val="00B0658D"/>
    <w:rsid w:val="00B13647"/>
    <w:rsid w:val="00B16DB4"/>
    <w:rsid w:val="00B20480"/>
    <w:rsid w:val="00B244CC"/>
    <w:rsid w:val="00B542FE"/>
    <w:rsid w:val="00B7380A"/>
    <w:rsid w:val="00B75FA6"/>
    <w:rsid w:val="00B800AD"/>
    <w:rsid w:val="00B91899"/>
    <w:rsid w:val="00B95EA2"/>
    <w:rsid w:val="00B96D42"/>
    <w:rsid w:val="00BB45A6"/>
    <w:rsid w:val="00BB4D68"/>
    <w:rsid w:val="00BC0F59"/>
    <w:rsid w:val="00BD18D1"/>
    <w:rsid w:val="00BF49CF"/>
    <w:rsid w:val="00BF5337"/>
    <w:rsid w:val="00BF6CBC"/>
    <w:rsid w:val="00C07138"/>
    <w:rsid w:val="00C10F06"/>
    <w:rsid w:val="00C160CA"/>
    <w:rsid w:val="00C22F3B"/>
    <w:rsid w:val="00C26EEC"/>
    <w:rsid w:val="00C45D93"/>
    <w:rsid w:val="00C506F1"/>
    <w:rsid w:val="00C579A3"/>
    <w:rsid w:val="00C64ACC"/>
    <w:rsid w:val="00C86B91"/>
    <w:rsid w:val="00CB16C0"/>
    <w:rsid w:val="00CB68E4"/>
    <w:rsid w:val="00CC142C"/>
    <w:rsid w:val="00CC2B92"/>
    <w:rsid w:val="00CD4B8D"/>
    <w:rsid w:val="00CF0366"/>
    <w:rsid w:val="00CF09AA"/>
    <w:rsid w:val="00D13E15"/>
    <w:rsid w:val="00D233C9"/>
    <w:rsid w:val="00D26DF5"/>
    <w:rsid w:val="00D311E9"/>
    <w:rsid w:val="00D47EEC"/>
    <w:rsid w:val="00D533E5"/>
    <w:rsid w:val="00D54882"/>
    <w:rsid w:val="00D63C09"/>
    <w:rsid w:val="00D72751"/>
    <w:rsid w:val="00D73967"/>
    <w:rsid w:val="00D76FB9"/>
    <w:rsid w:val="00D96ADC"/>
    <w:rsid w:val="00DB0A40"/>
    <w:rsid w:val="00DC530D"/>
    <w:rsid w:val="00DF1E9C"/>
    <w:rsid w:val="00DF6410"/>
    <w:rsid w:val="00E0397E"/>
    <w:rsid w:val="00E1001C"/>
    <w:rsid w:val="00E15C00"/>
    <w:rsid w:val="00E168A5"/>
    <w:rsid w:val="00E2456F"/>
    <w:rsid w:val="00E36BA6"/>
    <w:rsid w:val="00E46377"/>
    <w:rsid w:val="00E65D33"/>
    <w:rsid w:val="00E71867"/>
    <w:rsid w:val="00E71C18"/>
    <w:rsid w:val="00E73583"/>
    <w:rsid w:val="00E769F2"/>
    <w:rsid w:val="00E825F9"/>
    <w:rsid w:val="00E82632"/>
    <w:rsid w:val="00E8718D"/>
    <w:rsid w:val="00EA2267"/>
    <w:rsid w:val="00EA7251"/>
    <w:rsid w:val="00EB7FC6"/>
    <w:rsid w:val="00EC7583"/>
    <w:rsid w:val="00ED3094"/>
    <w:rsid w:val="00ED4660"/>
    <w:rsid w:val="00ED4FFB"/>
    <w:rsid w:val="00EE61E0"/>
    <w:rsid w:val="00F16091"/>
    <w:rsid w:val="00F16A01"/>
    <w:rsid w:val="00F215B9"/>
    <w:rsid w:val="00F240C1"/>
    <w:rsid w:val="00F42A2B"/>
    <w:rsid w:val="00F445D8"/>
    <w:rsid w:val="00F513AE"/>
    <w:rsid w:val="00F564AB"/>
    <w:rsid w:val="00F6668A"/>
    <w:rsid w:val="00F77A1A"/>
    <w:rsid w:val="00F85641"/>
    <w:rsid w:val="00FA18DC"/>
    <w:rsid w:val="00FB7C3C"/>
    <w:rsid w:val="00FD0D57"/>
    <w:rsid w:val="00FE7655"/>
    <w:rsid w:val="00FF249D"/>
    <w:rsid w:val="00FF31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AE2BD"/>
  <w15:chartTrackingRefBased/>
  <w15:docId w15:val="{7B0EB807-83D9-49AB-9E34-A7C5B38AF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61A4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136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D18D1"/>
    <w:pPr>
      <w:ind w:left="720"/>
      <w:contextualSpacing/>
    </w:pPr>
  </w:style>
  <w:style w:type="paragraph" w:styleId="NormalWeb">
    <w:name w:val="Normal (Web)"/>
    <w:basedOn w:val="Normal"/>
    <w:uiPriority w:val="99"/>
    <w:unhideWhenUsed/>
    <w:rsid w:val="00AC5CC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15F76"/>
    <w:rPr>
      <w:color w:val="0563C1" w:themeColor="hyperlink"/>
      <w:u w:val="single"/>
    </w:rPr>
  </w:style>
  <w:style w:type="character" w:styleId="UnresolvedMention">
    <w:name w:val="Unresolved Mention"/>
    <w:basedOn w:val="DefaultParagraphFont"/>
    <w:uiPriority w:val="99"/>
    <w:semiHidden/>
    <w:unhideWhenUsed/>
    <w:rsid w:val="00615F76"/>
    <w:rPr>
      <w:color w:val="605E5C"/>
      <w:shd w:val="clear" w:color="auto" w:fill="E1DFDD"/>
    </w:rPr>
  </w:style>
  <w:style w:type="paragraph" w:styleId="Header">
    <w:name w:val="header"/>
    <w:basedOn w:val="Normal"/>
    <w:link w:val="HeaderChar"/>
    <w:uiPriority w:val="99"/>
    <w:unhideWhenUsed/>
    <w:rsid w:val="00E168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8A5"/>
  </w:style>
  <w:style w:type="paragraph" w:styleId="Footer">
    <w:name w:val="footer"/>
    <w:basedOn w:val="Normal"/>
    <w:link w:val="FooterChar"/>
    <w:uiPriority w:val="99"/>
    <w:unhideWhenUsed/>
    <w:rsid w:val="00E168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8A5"/>
  </w:style>
  <w:style w:type="character" w:styleId="Emphasis">
    <w:name w:val="Emphasis"/>
    <w:basedOn w:val="DefaultParagraphFont"/>
    <w:uiPriority w:val="20"/>
    <w:qFormat/>
    <w:rsid w:val="00786C19"/>
    <w:rPr>
      <w:i/>
      <w:iCs/>
    </w:rPr>
  </w:style>
  <w:style w:type="character" w:customStyle="1" w:styleId="Heading1Char">
    <w:name w:val="Heading 1 Char"/>
    <w:basedOn w:val="DefaultParagraphFont"/>
    <w:link w:val="Heading1"/>
    <w:uiPriority w:val="9"/>
    <w:rsid w:val="00661A43"/>
    <w:rPr>
      <w:rFonts w:ascii="Times New Roman" w:eastAsia="Times New Roman" w:hAnsi="Times New Roman" w:cs="Times New Roman"/>
      <w:b/>
      <w:bCs/>
      <w:kern w:val="36"/>
      <w:sz w:val="48"/>
      <w:szCs w:val="48"/>
    </w:rPr>
  </w:style>
  <w:style w:type="character" w:customStyle="1" w:styleId="title-text">
    <w:name w:val="title-text"/>
    <w:basedOn w:val="DefaultParagraphFont"/>
    <w:rsid w:val="00661A43"/>
  </w:style>
  <w:style w:type="character" w:customStyle="1" w:styleId="small-caps">
    <w:name w:val="small-caps"/>
    <w:basedOn w:val="DefaultParagraphFont"/>
    <w:rsid w:val="00661A43"/>
  </w:style>
  <w:style w:type="character" w:styleId="Strong">
    <w:name w:val="Strong"/>
    <w:basedOn w:val="DefaultParagraphFont"/>
    <w:uiPriority w:val="22"/>
    <w:qFormat/>
    <w:rsid w:val="00864AA8"/>
    <w:rPr>
      <w:b/>
      <w:bCs/>
    </w:rPr>
  </w:style>
  <w:style w:type="character" w:styleId="FollowedHyperlink">
    <w:name w:val="FollowedHyperlink"/>
    <w:basedOn w:val="DefaultParagraphFont"/>
    <w:uiPriority w:val="99"/>
    <w:semiHidden/>
    <w:unhideWhenUsed/>
    <w:rsid w:val="00F6668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441784">
      <w:bodyDiv w:val="1"/>
      <w:marLeft w:val="0"/>
      <w:marRight w:val="0"/>
      <w:marTop w:val="0"/>
      <w:marBottom w:val="0"/>
      <w:divBdr>
        <w:top w:val="none" w:sz="0" w:space="0" w:color="auto"/>
        <w:left w:val="none" w:sz="0" w:space="0" w:color="auto"/>
        <w:bottom w:val="none" w:sz="0" w:space="0" w:color="auto"/>
        <w:right w:val="none" w:sz="0" w:space="0" w:color="auto"/>
      </w:divBdr>
    </w:div>
    <w:div w:id="163983732">
      <w:bodyDiv w:val="1"/>
      <w:marLeft w:val="0"/>
      <w:marRight w:val="0"/>
      <w:marTop w:val="0"/>
      <w:marBottom w:val="0"/>
      <w:divBdr>
        <w:top w:val="none" w:sz="0" w:space="0" w:color="auto"/>
        <w:left w:val="none" w:sz="0" w:space="0" w:color="auto"/>
        <w:bottom w:val="none" w:sz="0" w:space="0" w:color="auto"/>
        <w:right w:val="none" w:sz="0" w:space="0" w:color="auto"/>
      </w:divBdr>
    </w:div>
    <w:div w:id="296224132">
      <w:bodyDiv w:val="1"/>
      <w:marLeft w:val="0"/>
      <w:marRight w:val="0"/>
      <w:marTop w:val="0"/>
      <w:marBottom w:val="0"/>
      <w:divBdr>
        <w:top w:val="none" w:sz="0" w:space="0" w:color="auto"/>
        <w:left w:val="none" w:sz="0" w:space="0" w:color="auto"/>
        <w:bottom w:val="none" w:sz="0" w:space="0" w:color="auto"/>
        <w:right w:val="none" w:sz="0" w:space="0" w:color="auto"/>
      </w:divBdr>
    </w:div>
    <w:div w:id="534731412">
      <w:bodyDiv w:val="1"/>
      <w:marLeft w:val="0"/>
      <w:marRight w:val="0"/>
      <w:marTop w:val="0"/>
      <w:marBottom w:val="0"/>
      <w:divBdr>
        <w:top w:val="none" w:sz="0" w:space="0" w:color="auto"/>
        <w:left w:val="none" w:sz="0" w:space="0" w:color="auto"/>
        <w:bottom w:val="none" w:sz="0" w:space="0" w:color="auto"/>
        <w:right w:val="none" w:sz="0" w:space="0" w:color="auto"/>
      </w:divBdr>
    </w:div>
    <w:div w:id="637497922">
      <w:bodyDiv w:val="1"/>
      <w:marLeft w:val="0"/>
      <w:marRight w:val="0"/>
      <w:marTop w:val="0"/>
      <w:marBottom w:val="0"/>
      <w:divBdr>
        <w:top w:val="none" w:sz="0" w:space="0" w:color="auto"/>
        <w:left w:val="none" w:sz="0" w:space="0" w:color="auto"/>
        <w:bottom w:val="none" w:sz="0" w:space="0" w:color="auto"/>
        <w:right w:val="none" w:sz="0" w:space="0" w:color="auto"/>
      </w:divBdr>
    </w:div>
    <w:div w:id="711467781">
      <w:bodyDiv w:val="1"/>
      <w:marLeft w:val="0"/>
      <w:marRight w:val="0"/>
      <w:marTop w:val="0"/>
      <w:marBottom w:val="0"/>
      <w:divBdr>
        <w:top w:val="none" w:sz="0" w:space="0" w:color="auto"/>
        <w:left w:val="none" w:sz="0" w:space="0" w:color="auto"/>
        <w:bottom w:val="none" w:sz="0" w:space="0" w:color="auto"/>
        <w:right w:val="none" w:sz="0" w:space="0" w:color="auto"/>
      </w:divBdr>
    </w:div>
    <w:div w:id="885920341">
      <w:bodyDiv w:val="1"/>
      <w:marLeft w:val="0"/>
      <w:marRight w:val="0"/>
      <w:marTop w:val="0"/>
      <w:marBottom w:val="0"/>
      <w:divBdr>
        <w:top w:val="none" w:sz="0" w:space="0" w:color="auto"/>
        <w:left w:val="none" w:sz="0" w:space="0" w:color="auto"/>
        <w:bottom w:val="none" w:sz="0" w:space="0" w:color="auto"/>
        <w:right w:val="none" w:sz="0" w:space="0" w:color="auto"/>
      </w:divBdr>
    </w:div>
    <w:div w:id="1032920635">
      <w:bodyDiv w:val="1"/>
      <w:marLeft w:val="0"/>
      <w:marRight w:val="0"/>
      <w:marTop w:val="0"/>
      <w:marBottom w:val="0"/>
      <w:divBdr>
        <w:top w:val="none" w:sz="0" w:space="0" w:color="auto"/>
        <w:left w:val="none" w:sz="0" w:space="0" w:color="auto"/>
        <w:bottom w:val="none" w:sz="0" w:space="0" w:color="auto"/>
        <w:right w:val="none" w:sz="0" w:space="0" w:color="auto"/>
      </w:divBdr>
    </w:div>
    <w:div w:id="1207643544">
      <w:bodyDiv w:val="1"/>
      <w:marLeft w:val="0"/>
      <w:marRight w:val="0"/>
      <w:marTop w:val="0"/>
      <w:marBottom w:val="0"/>
      <w:divBdr>
        <w:top w:val="none" w:sz="0" w:space="0" w:color="auto"/>
        <w:left w:val="none" w:sz="0" w:space="0" w:color="auto"/>
        <w:bottom w:val="none" w:sz="0" w:space="0" w:color="auto"/>
        <w:right w:val="none" w:sz="0" w:space="0" w:color="auto"/>
      </w:divBdr>
    </w:div>
    <w:div w:id="1242057857">
      <w:bodyDiv w:val="1"/>
      <w:marLeft w:val="0"/>
      <w:marRight w:val="0"/>
      <w:marTop w:val="0"/>
      <w:marBottom w:val="0"/>
      <w:divBdr>
        <w:top w:val="none" w:sz="0" w:space="0" w:color="auto"/>
        <w:left w:val="none" w:sz="0" w:space="0" w:color="auto"/>
        <w:bottom w:val="none" w:sz="0" w:space="0" w:color="auto"/>
        <w:right w:val="none" w:sz="0" w:space="0" w:color="auto"/>
      </w:divBdr>
    </w:div>
    <w:div w:id="1915552669">
      <w:bodyDiv w:val="1"/>
      <w:marLeft w:val="0"/>
      <w:marRight w:val="0"/>
      <w:marTop w:val="0"/>
      <w:marBottom w:val="0"/>
      <w:divBdr>
        <w:top w:val="none" w:sz="0" w:space="0" w:color="auto"/>
        <w:left w:val="none" w:sz="0" w:space="0" w:color="auto"/>
        <w:bottom w:val="none" w:sz="0" w:space="0" w:color="auto"/>
        <w:right w:val="none" w:sz="0" w:space="0" w:color="auto"/>
      </w:divBdr>
    </w:div>
    <w:div w:id="1978100961">
      <w:bodyDiv w:val="1"/>
      <w:marLeft w:val="0"/>
      <w:marRight w:val="0"/>
      <w:marTop w:val="0"/>
      <w:marBottom w:val="0"/>
      <w:divBdr>
        <w:top w:val="none" w:sz="0" w:space="0" w:color="auto"/>
        <w:left w:val="none" w:sz="0" w:space="0" w:color="auto"/>
        <w:bottom w:val="none" w:sz="0" w:space="0" w:color="auto"/>
        <w:right w:val="none" w:sz="0" w:space="0" w:color="auto"/>
      </w:divBdr>
    </w:div>
    <w:div w:id="2065836483">
      <w:bodyDiv w:val="1"/>
      <w:marLeft w:val="0"/>
      <w:marRight w:val="0"/>
      <w:marTop w:val="0"/>
      <w:marBottom w:val="0"/>
      <w:divBdr>
        <w:top w:val="none" w:sz="0" w:space="0" w:color="auto"/>
        <w:left w:val="none" w:sz="0" w:space="0" w:color="auto"/>
        <w:bottom w:val="none" w:sz="0" w:space="0" w:color="auto"/>
        <w:right w:val="none" w:sz="0" w:space="0" w:color="auto"/>
      </w:divBdr>
    </w:div>
    <w:div w:id="2079817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eart.org/en/healthy-living/healthy-eating/eat-smart/sodium/how-to-reduce-sodium" TargetMode="External"/><Relationship Id="rId13" Type="http://schemas.openxmlformats.org/officeDocument/2006/relationships/hyperlink" Target="https://prescriber.therapeuticresearch.com/Content/Segments/PRL/2016/Feb/Improving-Heart-Failure-Care-9375" TargetMode="External"/><Relationship Id="rId3" Type="http://schemas.openxmlformats.org/officeDocument/2006/relationships/settings" Target="settings.xml"/><Relationship Id="rId7" Type="http://schemas.openxmlformats.org/officeDocument/2006/relationships/hyperlink" Target="https://www.heart.org/-/media/files/health-topics/heart-failure/hf-symptom-tracker.pdf" TargetMode="External"/><Relationship Id="rId12" Type="http://schemas.openxmlformats.org/officeDocument/2006/relationships/hyperlink" Target="https://www.goodrx.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x.com/entresto"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goodrx.com/bumetanide" TargetMode="External"/><Relationship Id="rId4" Type="http://schemas.openxmlformats.org/officeDocument/2006/relationships/webSettings" Target="webSettings.xml"/><Relationship Id="rId9" Type="http://schemas.openxmlformats.org/officeDocument/2006/relationships/hyperlink" Target="https://www.drugguide.com/ddo" TargetMode="External"/><Relationship Id="rId14" Type="http://schemas.openxmlformats.org/officeDocument/2006/relationships/hyperlink" Target="https://www.ncbi.nlm.nih.gov/books/NBK53292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4701</TotalTime>
  <Pages>5</Pages>
  <Words>1687</Words>
  <Characters>9619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Walsh University</Company>
  <LinksUpToDate>false</LinksUpToDate>
  <CharactersWithSpaces>11284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Finneran</dc:creator>
  <cp:keywords/>
  <dc:description/>
  <cp:lastModifiedBy>Renee Malove</cp:lastModifiedBy>
  <cp:revision>116</cp:revision>
  <dcterms:created xsi:type="dcterms:W3CDTF">2023-03-30T18:48:00Z</dcterms:created>
  <dcterms:modified xsi:type="dcterms:W3CDTF">2023-04-03T01:13:00Z</dcterms:modified>
</cp:coreProperties>
</file>