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B75F8" w14:textId="137DFF17" w:rsidR="003E66C3" w:rsidRPr="007E4720" w:rsidRDefault="003E66C3">
      <w:pPr>
        <w:rPr>
          <w:rFonts w:ascii="Times New Roman" w:hAnsi="Times New Roman" w:cs="Times New Roman"/>
          <w:b/>
          <w:sz w:val="24"/>
          <w:szCs w:val="24"/>
        </w:rPr>
      </w:pPr>
      <w:r w:rsidRPr="007E4720">
        <w:rPr>
          <w:rFonts w:ascii="Times New Roman" w:hAnsi="Times New Roman" w:cs="Times New Roman"/>
          <w:b/>
          <w:sz w:val="24"/>
          <w:szCs w:val="24"/>
        </w:rPr>
        <w:t>Renee Malove</w:t>
      </w:r>
    </w:p>
    <w:p w14:paraId="2D3D5B78" w14:textId="74EA441D" w:rsidR="00B13647" w:rsidRPr="007E4720" w:rsidRDefault="00701D6B">
      <w:pPr>
        <w:rPr>
          <w:rFonts w:ascii="Times New Roman" w:hAnsi="Times New Roman" w:cs="Times New Roman"/>
          <w:sz w:val="24"/>
          <w:szCs w:val="24"/>
        </w:rPr>
      </w:pPr>
      <w:r w:rsidRPr="007E4720">
        <w:rPr>
          <w:rFonts w:ascii="Times New Roman" w:hAnsi="Times New Roman" w:cs="Times New Roman"/>
          <w:b/>
          <w:sz w:val="24"/>
          <w:szCs w:val="24"/>
        </w:rPr>
        <w:t>Case Study:</w:t>
      </w:r>
      <w:r w:rsidR="00BD18D1" w:rsidRPr="007E4720">
        <w:rPr>
          <w:rFonts w:ascii="Times New Roman" w:hAnsi="Times New Roman" w:cs="Times New Roman"/>
          <w:b/>
          <w:sz w:val="24"/>
          <w:szCs w:val="24"/>
        </w:rPr>
        <w:t xml:space="preserve"> </w:t>
      </w:r>
      <w:r w:rsidR="00021FB7">
        <w:rPr>
          <w:rFonts w:ascii="Times New Roman" w:hAnsi="Times New Roman" w:cs="Times New Roman"/>
          <w:b/>
          <w:sz w:val="24"/>
          <w:szCs w:val="24"/>
        </w:rPr>
        <w:t>Cardiology (</w:t>
      </w:r>
      <w:proofErr w:type="spellStart"/>
      <w:r w:rsidR="00021FB7">
        <w:rPr>
          <w:rFonts w:ascii="Times New Roman" w:hAnsi="Times New Roman" w:cs="Times New Roman"/>
          <w:b/>
          <w:sz w:val="24"/>
          <w:szCs w:val="24"/>
        </w:rPr>
        <w:t>Afib</w:t>
      </w:r>
      <w:proofErr w:type="spellEnd"/>
      <w:r w:rsidR="00021FB7">
        <w:rPr>
          <w:rFonts w:ascii="Times New Roman" w:hAnsi="Times New Roman" w:cs="Times New Roman"/>
          <w:b/>
          <w:sz w:val="24"/>
          <w:szCs w:val="24"/>
        </w:rPr>
        <w:t xml:space="preserve">) </w:t>
      </w:r>
    </w:p>
    <w:p w14:paraId="25EAD287" w14:textId="77777777" w:rsidR="00701D6B" w:rsidRPr="007E4720" w:rsidRDefault="00701D6B">
      <w:pPr>
        <w:rPr>
          <w:rFonts w:ascii="Times New Roman" w:hAnsi="Times New Roman" w:cs="Times New Roman"/>
          <w:sz w:val="24"/>
          <w:szCs w:val="24"/>
        </w:rPr>
      </w:pPr>
    </w:p>
    <w:p w14:paraId="3C9B46E8" w14:textId="77777777" w:rsidR="00701D6B" w:rsidRPr="007E4720" w:rsidRDefault="00701D6B">
      <w:pPr>
        <w:rPr>
          <w:rFonts w:ascii="Times New Roman" w:hAnsi="Times New Roman" w:cs="Times New Roman"/>
          <w:sz w:val="24"/>
          <w:szCs w:val="24"/>
        </w:rPr>
      </w:pPr>
    </w:p>
    <w:p w14:paraId="2BFBFF29" w14:textId="77777777" w:rsidR="00701D6B" w:rsidRPr="007E4720" w:rsidRDefault="00701D6B">
      <w:pPr>
        <w:rPr>
          <w:rFonts w:ascii="Times New Roman" w:hAnsi="Times New Roman" w:cs="Times New Roman"/>
          <w:sz w:val="24"/>
          <w:szCs w:val="24"/>
        </w:rPr>
      </w:pPr>
    </w:p>
    <w:p w14:paraId="7D78894E" w14:textId="77777777" w:rsidR="00701D6B" w:rsidRPr="007E4720" w:rsidRDefault="00701D6B">
      <w:pPr>
        <w:rPr>
          <w:rFonts w:ascii="Times New Roman" w:hAnsi="Times New Roman" w:cs="Times New Roman"/>
          <w:sz w:val="24"/>
          <w:szCs w:val="24"/>
        </w:rPr>
      </w:pPr>
    </w:p>
    <w:tbl>
      <w:tblPr>
        <w:tblStyle w:val="TableGrid"/>
        <w:tblW w:w="9985" w:type="dxa"/>
        <w:tblLook w:val="04A0" w:firstRow="1" w:lastRow="0" w:firstColumn="1" w:lastColumn="0" w:noHBand="0" w:noVBand="1"/>
      </w:tblPr>
      <w:tblGrid>
        <w:gridCol w:w="265"/>
        <w:gridCol w:w="2670"/>
        <w:gridCol w:w="7050"/>
      </w:tblGrid>
      <w:tr w:rsidR="004D1F76" w:rsidRPr="007E4720" w14:paraId="145E8CA1" w14:textId="77777777" w:rsidTr="00701D6B">
        <w:tc>
          <w:tcPr>
            <w:tcW w:w="2935" w:type="dxa"/>
            <w:gridSpan w:val="2"/>
          </w:tcPr>
          <w:p w14:paraId="14386522" w14:textId="77777777" w:rsidR="007830E8" w:rsidRPr="007E4720" w:rsidRDefault="007830E8" w:rsidP="00701D6B">
            <w:pPr>
              <w:rPr>
                <w:rFonts w:ascii="Times New Roman" w:hAnsi="Times New Roman" w:cs="Times New Roman"/>
                <w:i/>
                <w:sz w:val="24"/>
                <w:szCs w:val="24"/>
              </w:rPr>
            </w:pPr>
            <w:r w:rsidRPr="007E4720">
              <w:rPr>
                <w:rFonts w:ascii="Times New Roman" w:hAnsi="Times New Roman" w:cs="Times New Roman"/>
                <w:i/>
                <w:sz w:val="24"/>
                <w:szCs w:val="24"/>
              </w:rPr>
              <w:t>Mnemonic Components</w:t>
            </w:r>
          </w:p>
          <w:p w14:paraId="528C7D20" w14:textId="77777777" w:rsidR="00701D6B" w:rsidRPr="007E4720" w:rsidRDefault="00701D6B" w:rsidP="00701D6B">
            <w:pPr>
              <w:rPr>
                <w:rFonts w:ascii="Times New Roman" w:hAnsi="Times New Roman" w:cs="Times New Roman"/>
                <w:sz w:val="24"/>
                <w:szCs w:val="24"/>
              </w:rPr>
            </w:pPr>
            <w:r w:rsidRPr="007E4720">
              <w:rPr>
                <w:rFonts w:ascii="Times New Roman" w:hAnsi="Times New Roman" w:cs="Times New Roman"/>
                <w:b/>
                <w:sz w:val="24"/>
                <w:szCs w:val="24"/>
              </w:rPr>
              <w:t>I C</w:t>
            </w:r>
            <w:r w:rsidRPr="007E4720">
              <w:rPr>
                <w:rFonts w:ascii="Times New Roman" w:hAnsi="Times New Roman" w:cs="Times New Roman"/>
                <w:sz w:val="24"/>
                <w:szCs w:val="24"/>
              </w:rPr>
              <w:t xml:space="preserve">an </w:t>
            </w:r>
            <w:proofErr w:type="spellStart"/>
            <w:r w:rsidRPr="007E4720">
              <w:rPr>
                <w:rFonts w:ascii="Times New Roman" w:hAnsi="Times New Roman" w:cs="Times New Roman"/>
                <w:b/>
                <w:sz w:val="24"/>
                <w:szCs w:val="24"/>
              </w:rPr>
              <w:t>P</w:t>
            </w:r>
            <w:r w:rsidRPr="007E4720">
              <w:rPr>
                <w:rFonts w:ascii="Times New Roman" w:hAnsi="Times New Roman" w:cs="Times New Roman"/>
                <w:sz w:val="24"/>
                <w:szCs w:val="24"/>
              </w:rPr>
              <w:t>res</w:t>
            </w:r>
            <w:r w:rsidRPr="007E4720">
              <w:rPr>
                <w:rFonts w:ascii="Times New Roman" w:hAnsi="Times New Roman" w:cs="Times New Roman"/>
                <w:b/>
                <w:sz w:val="24"/>
                <w:szCs w:val="24"/>
              </w:rPr>
              <w:t>C</w:t>
            </w:r>
            <w:r w:rsidRPr="007E4720">
              <w:rPr>
                <w:rFonts w:ascii="Times New Roman" w:hAnsi="Times New Roman" w:cs="Times New Roman"/>
                <w:sz w:val="24"/>
                <w:szCs w:val="24"/>
              </w:rPr>
              <w:t>rib</w:t>
            </w:r>
            <w:r w:rsidRPr="007E4720">
              <w:rPr>
                <w:rFonts w:ascii="Times New Roman" w:hAnsi="Times New Roman" w:cs="Times New Roman"/>
                <w:b/>
                <w:sz w:val="24"/>
                <w:szCs w:val="24"/>
              </w:rPr>
              <w:t>E</w:t>
            </w:r>
            <w:proofErr w:type="spellEnd"/>
            <w:r w:rsidRPr="007E4720">
              <w:rPr>
                <w:rFonts w:ascii="Times New Roman" w:hAnsi="Times New Roman" w:cs="Times New Roman"/>
                <w:b/>
                <w:sz w:val="24"/>
                <w:szCs w:val="24"/>
              </w:rPr>
              <w:t xml:space="preserve"> A D</w:t>
            </w:r>
            <w:r w:rsidRPr="007E4720">
              <w:rPr>
                <w:rFonts w:ascii="Times New Roman" w:hAnsi="Times New Roman" w:cs="Times New Roman"/>
                <w:sz w:val="24"/>
                <w:szCs w:val="24"/>
              </w:rPr>
              <w:t>rug</w:t>
            </w:r>
          </w:p>
        </w:tc>
        <w:tc>
          <w:tcPr>
            <w:tcW w:w="7050" w:type="dxa"/>
          </w:tcPr>
          <w:p w14:paraId="72A9222B" w14:textId="77777777" w:rsidR="004D1F76" w:rsidRPr="007E4720" w:rsidRDefault="007830E8">
            <w:pPr>
              <w:rPr>
                <w:rFonts w:ascii="Times New Roman" w:hAnsi="Times New Roman" w:cs="Times New Roman"/>
                <w:i/>
                <w:sz w:val="24"/>
                <w:szCs w:val="24"/>
              </w:rPr>
            </w:pPr>
            <w:r w:rsidRPr="007E4720">
              <w:rPr>
                <w:rFonts w:ascii="Times New Roman" w:hAnsi="Times New Roman" w:cs="Times New Roman"/>
                <w:i/>
                <w:sz w:val="24"/>
                <w:szCs w:val="24"/>
              </w:rPr>
              <w:t xml:space="preserve">Case Example </w:t>
            </w:r>
          </w:p>
          <w:p w14:paraId="5D90BAE3" w14:textId="77777777" w:rsidR="007830E8" w:rsidRPr="007E4720" w:rsidRDefault="007830E8">
            <w:pPr>
              <w:rPr>
                <w:rFonts w:ascii="Times New Roman" w:hAnsi="Times New Roman" w:cs="Times New Roman"/>
                <w:sz w:val="24"/>
                <w:szCs w:val="24"/>
              </w:rPr>
            </w:pPr>
            <w:r w:rsidRPr="007E4720">
              <w:rPr>
                <w:rFonts w:ascii="Times New Roman" w:hAnsi="Times New Roman" w:cs="Times New Roman"/>
                <w:i/>
                <w:sz w:val="24"/>
                <w:szCs w:val="24"/>
              </w:rPr>
              <w:t>Description</w:t>
            </w:r>
          </w:p>
        </w:tc>
      </w:tr>
      <w:tr w:rsidR="004D1F76" w:rsidRPr="007E4720" w14:paraId="0ADB61DD" w14:textId="77777777" w:rsidTr="00187C4D">
        <w:trPr>
          <w:trHeight w:val="1790"/>
        </w:trPr>
        <w:tc>
          <w:tcPr>
            <w:tcW w:w="265" w:type="dxa"/>
          </w:tcPr>
          <w:p w14:paraId="0A45C120" w14:textId="77777777" w:rsidR="004D1F76" w:rsidRPr="007E4720" w:rsidRDefault="004D1F76" w:rsidP="007830E8">
            <w:pPr>
              <w:rPr>
                <w:rFonts w:ascii="Times New Roman" w:hAnsi="Times New Roman" w:cs="Times New Roman"/>
                <w:sz w:val="24"/>
                <w:szCs w:val="24"/>
              </w:rPr>
            </w:pPr>
          </w:p>
        </w:tc>
        <w:tc>
          <w:tcPr>
            <w:tcW w:w="2670" w:type="dxa"/>
          </w:tcPr>
          <w:p w14:paraId="310EAACA" w14:textId="77777777" w:rsidR="004D1F76" w:rsidRPr="007E4720" w:rsidRDefault="007830E8" w:rsidP="007830E8">
            <w:pPr>
              <w:rPr>
                <w:rFonts w:ascii="Times New Roman" w:hAnsi="Times New Roman" w:cs="Times New Roman"/>
                <w:sz w:val="24"/>
                <w:szCs w:val="24"/>
              </w:rPr>
            </w:pPr>
            <w:r w:rsidRPr="007E4720">
              <w:rPr>
                <w:rFonts w:ascii="Times New Roman" w:hAnsi="Times New Roman" w:cs="Times New Roman"/>
                <w:b/>
                <w:sz w:val="24"/>
                <w:szCs w:val="24"/>
              </w:rPr>
              <w:t>I</w:t>
            </w:r>
            <w:r w:rsidRPr="007E4720">
              <w:rPr>
                <w:rFonts w:ascii="Times New Roman" w:hAnsi="Times New Roman" w:cs="Times New Roman"/>
                <w:sz w:val="24"/>
                <w:szCs w:val="24"/>
              </w:rPr>
              <w:t>ndication</w:t>
            </w:r>
          </w:p>
        </w:tc>
        <w:tc>
          <w:tcPr>
            <w:tcW w:w="7050" w:type="dxa"/>
          </w:tcPr>
          <w:p w14:paraId="28970897" w14:textId="600369B8" w:rsidR="00985485" w:rsidRPr="007E4720" w:rsidRDefault="00FF249D" w:rsidP="00021FB7">
            <w:pPr>
              <w:pStyle w:val="ListParagraph"/>
              <w:numPr>
                <w:ilvl w:val="0"/>
                <w:numId w:val="1"/>
              </w:numPr>
              <w:rPr>
                <w:rFonts w:ascii="Times New Roman" w:hAnsi="Times New Roman" w:cs="Times New Roman"/>
                <w:sz w:val="24"/>
                <w:szCs w:val="24"/>
              </w:rPr>
            </w:pPr>
            <w:r w:rsidRPr="007E4720">
              <w:rPr>
                <w:rFonts w:ascii="Times New Roman" w:hAnsi="Times New Roman" w:cs="Times New Roman"/>
                <w:sz w:val="24"/>
                <w:szCs w:val="24"/>
              </w:rPr>
              <w:t xml:space="preserve">Pt presents this visit with </w:t>
            </w:r>
          </w:p>
          <w:p w14:paraId="1ABAC9C6" w14:textId="57C8F8EA" w:rsidR="0058374C" w:rsidRPr="00FA18DC" w:rsidRDefault="0058374C" w:rsidP="00FA18DC">
            <w:pPr>
              <w:pStyle w:val="ListParagraph"/>
              <w:numPr>
                <w:ilvl w:val="0"/>
                <w:numId w:val="1"/>
              </w:numPr>
              <w:rPr>
                <w:rFonts w:ascii="Times New Roman" w:hAnsi="Times New Roman" w:cs="Times New Roman"/>
                <w:sz w:val="24"/>
                <w:szCs w:val="24"/>
              </w:rPr>
            </w:pPr>
          </w:p>
        </w:tc>
      </w:tr>
      <w:tr w:rsidR="004D1F76" w:rsidRPr="007E4720" w14:paraId="627A850E" w14:textId="77777777" w:rsidTr="00187C4D">
        <w:trPr>
          <w:trHeight w:val="1430"/>
        </w:trPr>
        <w:tc>
          <w:tcPr>
            <w:tcW w:w="265" w:type="dxa"/>
          </w:tcPr>
          <w:p w14:paraId="1D45FFDA" w14:textId="77777777" w:rsidR="004D1F76" w:rsidRPr="007E4720" w:rsidRDefault="004D1F76" w:rsidP="007830E8">
            <w:pPr>
              <w:rPr>
                <w:rFonts w:ascii="Times New Roman" w:hAnsi="Times New Roman" w:cs="Times New Roman"/>
                <w:sz w:val="24"/>
                <w:szCs w:val="24"/>
              </w:rPr>
            </w:pPr>
          </w:p>
        </w:tc>
        <w:tc>
          <w:tcPr>
            <w:tcW w:w="2670" w:type="dxa"/>
          </w:tcPr>
          <w:p w14:paraId="21751A40" w14:textId="77777777" w:rsidR="004D1F76" w:rsidRPr="007E4720" w:rsidRDefault="0074064C" w:rsidP="007830E8">
            <w:pPr>
              <w:rPr>
                <w:rFonts w:ascii="Times New Roman" w:hAnsi="Times New Roman" w:cs="Times New Roman"/>
                <w:sz w:val="24"/>
                <w:szCs w:val="24"/>
              </w:rPr>
            </w:pPr>
            <w:r w:rsidRPr="007E4720">
              <w:rPr>
                <w:rFonts w:ascii="Times New Roman" w:hAnsi="Times New Roman" w:cs="Times New Roman"/>
                <w:b/>
                <w:sz w:val="24"/>
                <w:szCs w:val="24"/>
              </w:rPr>
              <w:t>C</w:t>
            </w:r>
            <w:r w:rsidRPr="007E4720">
              <w:rPr>
                <w:rFonts w:ascii="Times New Roman" w:hAnsi="Times New Roman" w:cs="Times New Roman"/>
                <w:sz w:val="24"/>
                <w:szCs w:val="24"/>
              </w:rPr>
              <w:t>ontraindications</w:t>
            </w:r>
          </w:p>
        </w:tc>
        <w:tc>
          <w:tcPr>
            <w:tcW w:w="7050" w:type="dxa"/>
          </w:tcPr>
          <w:p w14:paraId="14FF73F2" w14:textId="301FB25A" w:rsidR="00DC530D" w:rsidRDefault="00E73583" w:rsidP="0085765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Metformin</w:t>
            </w:r>
            <w:r w:rsidR="005E2AA9">
              <w:rPr>
                <w:rFonts w:ascii="Times New Roman" w:hAnsi="Times New Roman" w:cs="Times New Roman"/>
                <w:b/>
                <w:bCs/>
                <w:sz w:val="24"/>
                <w:szCs w:val="24"/>
              </w:rPr>
              <w:t xml:space="preserve">: </w:t>
            </w:r>
            <w:r w:rsidR="00EA7251">
              <w:rPr>
                <w:rFonts w:ascii="Times New Roman" w:hAnsi="Times New Roman" w:cs="Times New Roman"/>
                <w:sz w:val="24"/>
                <w:szCs w:val="24"/>
              </w:rPr>
              <w:t xml:space="preserve">Do not prescribe to patients over the age of 80 years unless current renal function testing is within normal limits. </w:t>
            </w:r>
            <w:r w:rsidR="007A216D">
              <w:rPr>
                <w:rFonts w:ascii="Times New Roman" w:hAnsi="Times New Roman" w:cs="Times New Roman"/>
                <w:sz w:val="24"/>
                <w:szCs w:val="24"/>
              </w:rPr>
              <w:t xml:space="preserve">Other contraindications include known hypersensitivity reaction to metformin, creatinine clearance less than 30 mL/min, DKA, metabolic acidosis. Do not use with </w:t>
            </w:r>
            <w:proofErr w:type="spellStart"/>
            <w:r w:rsidR="007A216D">
              <w:rPr>
                <w:rFonts w:ascii="Times New Roman" w:hAnsi="Times New Roman" w:cs="Times New Roman"/>
                <w:sz w:val="24"/>
                <w:szCs w:val="24"/>
              </w:rPr>
              <w:t>dofetilide</w:t>
            </w:r>
            <w:proofErr w:type="spellEnd"/>
            <w:r w:rsidR="00F16A01">
              <w:rPr>
                <w:rFonts w:ascii="Times New Roman" w:hAnsi="Times New Roman" w:cs="Times New Roman"/>
                <w:sz w:val="24"/>
                <w:szCs w:val="24"/>
              </w:rPr>
              <w:t xml:space="preserve">; will decrease excretion of </w:t>
            </w:r>
            <w:proofErr w:type="spellStart"/>
            <w:r w:rsidR="00F16A01">
              <w:rPr>
                <w:rFonts w:ascii="Times New Roman" w:hAnsi="Times New Roman" w:cs="Times New Roman"/>
                <w:sz w:val="24"/>
                <w:szCs w:val="24"/>
              </w:rPr>
              <w:t>dofetilide</w:t>
            </w:r>
            <w:proofErr w:type="spellEnd"/>
            <w:r w:rsidR="007A216D">
              <w:rPr>
                <w:rFonts w:ascii="Times New Roman" w:hAnsi="Times New Roman" w:cs="Times New Roman"/>
                <w:sz w:val="24"/>
                <w:szCs w:val="24"/>
              </w:rPr>
              <w:t xml:space="preserve">. </w:t>
            </w:r>
          </w:p>
          <w:p w14:paraId="095DF132" w14:textId="75153BC2" w:rsidR="00E73583" w:rsidRDefault="003B0DAA" w:rsidP="0085765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Canagliflozin</w:t>
            </w:r>
            <w:r w:rsidR="005274D3">
              <w:rPr>
                <w:rFonts w:ascii="Times New Roman" w:hAnsi="Times New Roman" w:cs="Times New Roman"/>
                <w:b/>
                <w:bCs/>
                <w:sz w:val="24"/>
                <w:szCs w:val="24"/>
              </w:rPr>
              <w:t xml:space="preserve">: </w:t>
            </w:r>
            <w:r w:rsidR="005274D3">
              <w:rPr>
                <w:rFonts w:ascii="Times New Roman" w:hAnsi="Times New Roman" w:cs="Times New Roman"/>
                <w:sz w:val="24"/>
                <w:szCs w:val="24"/>
              </w:rPr>
              <w:t xml:space="preserve">Do not prescribe in patients with known hypersensitivity, severe renal impairment/ESRD, on dialysis, eGFR &lt; 45 mL/min/1.73m2. </w:t>
            </w:r>
          </w:p>
          <w:p w14:paraId="247CCABD" w14:textId="2160BF27" w:rsidR="00E73583" w:rsidRPr="007E4720" w:rsidRDefault="00E73583" w:rsidP="0085765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Exenatide, Extended Release</w:t>
            </w:r>
            <w:r w:rsidR="00655C5F">
              <w:rPr>
                <w:rFonts w:ascii="Times New Roman" w:hAnsi="Times New Roman" w:cs="Times New Roman"/>
                <w:b/>
                <w:bCs/>
                <w:sz w:val="24"/>
                <w:szCs w:val="24"/>
              </w:rPr>
              <w:t xml:space="preserve">: </w:t>
            </w:r>
            <w:r w:rsidR="00655C5F">
              <w:rPr>
                <w:rFonts w:ascii="Times New Roman" w:hAnsi="Times New Roman" w:cs="Times New Roman"/>
                <w:sz w:val="24"/>
                <w:szCs w:val="24"/>
              </w:rPr>
              <w:t xml:space="preserve">Do not prescribe in patients with known hypersensitivity, </w:t>
            </w:r>
            <w:proofErr w:type="spellStart"/>
            <w:r w:rsidR="00655C5F">
              <w:rPr>
                <w:rFonts w:ascii="Times New Roman" w:hAnsi="Times New Roman" w:cs="Times New Roman"/>
                <w:sz w:val="24"/>
                <w:szCs w:val="24"/>
              </w:rPr>
              <w:t>CrCl</w:t>
            </w:r>
            <w:proofErr w:type="spellEnd"/>
            <w:r w:rsidR="00655C5F">
              <w:rPr>
                <w:rFonts w:ascii="Times New Roman" w:hAnsi="Times New Roman" w:cs="Times New Roman"/>
                <w:sz w:val="24"/>
                <w:szCs w:val="24"/>
              </w:rPr>
              <w:t xml:space="preserve">&lt;30 mL/min, or ESRD. </w:t>
            </w:r>
            <w:r w:rsidR="0057320C">
              <w:rPr>
                <w:rFonts w:ascii="Times New Roman" w:hAnsi="Times New Roman" w:cs="Times New Roman"/>
                <w:sz w:val="24"/>
                <w:szCs w:val="24"/>
              </w:rPr>
              <w:t xml:space="preserve">Not recommended for patients with history of pancreatitis, or family history of medullary thyroid carcinoma or Multiple endocrine neoplasia syndrome type 2. </w:t>
            </w:r>
            <w:r w:rsidR="00350CC3">
              <w:rPr>
                <w:rFonts w:ascii="Times New Roman" w:hAnsi="Times New Roman" w:cs="Times New Roman"/>
                <w:sz w:val="24"/>
                <w:szCs w:val="24"/>
              </w:rPr>
              <w:t xml:space="preserve"> (Mosby, 2017) </w:t>
            </w:r>
          </w:p>
        </w:tc>
      </w:tr>
      <w:tr w:rsidR="004D1F76" w:rsidRPr="007E4720" w14:paraId="228E24B5" w14:textId="77777777" w:rsidTr="00187C4D">
        <w:trPr>
          <w:trHeight w:val="1340"/>
        </w:trPr>
        <w:tc>
          <w:tcPr>
            <w:tcW w:w="265" w:type="dxa"/>
          </w:tcPr>
          <w:p w14:paraId="114F6678" w14:textId="77777777" w:rsidR="004D1F76" w:rsidRPr="007E4720" w:rsidRDefault="004D1F76" w:rsidP="007830E8">
            <w:pPr>
              <w:rPr>
                <w:rFonts w:ascii="Times New Roman" w:hAnsi="Times New Roman" w:cs="Times New Roman"/>
                <w:sz w:val="24"/>
                <w:szCs w:val="24"/>
              </w:rPr>
            </w:pPr>
          </w:p>
        </w:tc>
        <w:tc>
          <w:tcPr>
            <w:tcW w:w="2670" w:type="dxa"/>
          </w:tcPr>
          <w:p w14:paraId="2E1AD127" w14:textId="77777777" w:rsidR="004D1F76" w:rsidRPr="007E4720" w:rsidRDefault="00701D6B" w:rsidP="007830E8">
            <w:pPr>
              <w:rPr>
                <w:rFonts w:ascii="Times New Roman" w:hAnsi="Times New Roman" w:cs="Times New Roman"/>
                <w:sz w:val="24"/>
                <w:szCs w:val="24"/>
              </w:rPr>
            </w:pPr>
            <w:r w:rsidRPr="007E4720">
              <w:rPr>
                <w:rFonts w:ascii="Times New Roman" w:hAnsi="Times New Roman" w:cs="Times New Roman"/>
                <w:b/>
                <w:sz w:val="24"/>
                <w:szCs w:val="24"/>
              </w:rPr>
              <w:t>P</w:t>
            </w:r>
            <w:r w:rsidRPr="007E4720">
              <w:rPr>
                <w:rFonts w:ascii="Times New Roman" w:hAnsi="Times New Roman" w:cs="Times New Roman"/>
                <w:sz w:val="24"/>
                <w:szCs w:val="24"/>
              </w:rPr>
              <w:t>recautions</w:t>
            </w:r>
          </w:p>
        </w:tc>
        <w:tc>
          <w:tcPr>
            <w:tcW w:w="7050" w:type="dxa"/>
          </w:tcPr>
          <w:p w14:paraId="42847F2F" w14:textId="77777777" w:rsidR="004D4B3C" w:rsidRPr="004D4B3C" w:rsidRDefault="00E73583" w:rsidP="004D4B3C">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Metformin</w:t>
            </w:r>
            <w:r w:rsidR="003248D2">
              <w:rPr>
                <w:rFonts w:ascii="Times New Roman" w:hAnsi="Times New Roman" w:cs="Times New Roman"/>
                <w:b/>
                <w:bCs/>
                <w:sz w:val="24"/>
                <w:szCs w:val="24"/>
              </w:rPr>
              <w:t xml:space="preserve">: </w:t>
            </w:r>
            <w:r w:rsidR="003248D2">
              <w:rPr>
                <w:rFonts w:ascii="Times New Roman" w:hAnsi="Times New Roman" w:cs="Times New Roman"/>
                <w:sz w:val="24"/>
                <w:szCs w:val="24"/>
              </w:rPr>
              <w:t xml:space="preserve">Pregnancy Category B. (Does not pertain to this patient.) </w:t>
            </w:r>
            <w:r w:rsidR="007A216D">
              <w:rPr>
                <w:rFonts w:ascii="Times New Roman" w:hAnsi="Times New Roman" w:cs="Times New Roman"/>
                <w:sz w:val="24"/>
                <w:szCs w:val="24"/>
              </w:rPr>
              <w:t>Hold for 48 hours after receiving iodinated contrast</w:t>
            </w:r>
            <w:r w:rsidR="0068741A">
              <w:rPr>
                <w:rFonts w:ascii="Times New Roman" w:hAnsi="Times New Roman" w:cs="Times New Roman"/>
                <w:sz w:val="24"/>
                <w:szCs w:val="24"/>
              </w:rPr>
              <w:t xml:space="preserve"> due to risk for acute renal failure and increased risk for lactic acidosis. Metformin blood concentration may be increased</w:t>
            </w:r>
            <w:r w:rsidR="003C6147">
              <w:rPr>
                <w:rFonts w:ascii="Times New Roman" w:hAnsi="Times New Roman" w:cs="Times New Roman"/>
                <w:sz w:val="24"/>
                <w:szCs w:val="24"/>
              </w:rPr>
              <w:t xml:space="preserve"> </w:t>
            </w:r>
            <w:r w:rsidR="00F16A01">
              <w:rPr>
                <w:rFonts w:ascii="Times New Roman" w:hAnsi="Times New Roman" w:cs="Times New Roman"/>
                <w:sz w:val="24"/>
                <w:szCs w:val="24"/>
              </w:rPr>
              <w:t>by</w:t>
            </w:r>
            <w:r w:rsidR="003C6147">
              <w:rPr>
                <w:rFonts w:ascii="Times New Roman" w:hAnsi="Times New Roman" w:cs="Times New Roman"/>
                <w:sz w:val="24"/>
                <w:szCs w:val="24"/>
              </w:rPr>
              <w:t xml:space="preserve"> alcohol, amiloride, cimetidine, digoxin, furosemide, morphine, nifedipine, procainamide, quinidine, quinine, ranitidine, </w:t>
            </w:r>
            <w:r w:rsidR="00AC46BC">
              <w:rPr>
                <w:rFonts w:ascii="Times New Roman" w:hAnsi="Times New Roman" w:cs="Times New Roman"/>
                <w:sz w:val="24"/>
                <w:szCs w:val="24"/>
              </w:rPr>
              <w:t xml:space="preserve">ranolazine, topiramate, triamterene, trimethoprim, and vancomycin. May need to decrease dosage if taking furosemide or medications that may cause hypoglycemia. </w:t>
            </w:r>
            <w:r w:rsidR="00F16A01">
              <w:rPr>
                <w:rFonts w:ascii="Times New Roman" w:hAnsi="Times New Roman" w:cs="Times New Roman"/>
                <w:sz w:val="24"/>
                <w:szCs w:val="24"/>
              </w:rPr>
              <w:t xml:space="preserve"> </w:t>
            </w:r>
            <w:r w:rsidR="00255B3E">
              <w:rPr>
                <w:rFonts w:ascii="Times New Roman" w:hAnsi="Times New Roman" w:cs="Times New Roman"/>
                <w:sz w:val="24"/>
                <w:szCs w:val="24"/>
              </w:rPr>
              <w:t>Metformin excretion may be decreased by adefovir, amiloride, cimetidine, entecavir, or other drugs eliminated by renal t</w:t>
            </w:r>
            <w:r w:rsidR="00F77A1A">
              <w:rPr>
                <w:rFonts w:ascii="Times New Roman" w:hAnsi="Times New Roman" w:cs="Times New Roman"/>
                <w:sz w:val="24"/>
                <w:szCs w:val="24"/>
              </w:rPr>
              <w:t>u</w:t>
            </w:r>
            <w:r w:rsidR="00255B3E">
              <w:rPr>
                <w:rFonts w:ascii="Times New Roman" w:hAnsi="Times New Roman" w:cs="Times New Roman"/>
                <w:sz w:val="24"/>
                <w:szCs w:val="24"/>
              </w:rPr>
              <w:t>bular secretion.</w:t>
            </w:r>
          </w:p>
          <w:p w14:paraId="09C3E1EE" w14:textId="04CEBFC1" w:rsidR="00E73583" w:rsidRPr="004D4B3C" w:rsidRDefault="004D4B3C" w:rsidP="004D4B3C">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Metformin:</w:t>
            </w:r>
            <w:r>
              <w:rPr>
                <w:rFonts w:ascii="Times New Roman" w:hAnsi="Times New Roman" w:cs="Times New Roman"/>
                <w:sz w:val="24"/>
                <w:szCs w:val="24"/>
              </w:rPr>
              <w:t xml:space="preserve"> Use with caution in patients with CHF, respiratory disease, thyroid disfunction</w:t>
            </w:r>
            <w:r w:rsidR="00C22F3B">
              <w:rPr>
                <w:rFonts w:ascii="Times New Roman" w:hAnsi="Times New Roman" w:cs="Times New Roman"/>
                <w:sz w:val="24"/>
                <w:szCs w:val="24"/>
              </w:rPr>
              <w:t xml:space="preserve">, gastroparesis, renal dysfunction, advanced age. </w:t>
            </w:r>
            <w:r w:rsidR="00255B3E" w:rsidRPr="004D4B3C">
              <w:rPr>
                <w:rFonts w:ascii="Times New Roman" w:hAnsi="Times New Roman" w:cs="Times New Roman"/>
                <w:sz w:val="24"/>
                <w:szCs w:val="24"/>
              </w:rPr>
              <w:t xml:space="preserve"> </w:t>
            </w:r>
          </w:p>
          <w:p w14:paraId="3ABF1BFC" w14:textId="688AEA47" w:rsidR="00E73583" w:rsidRDefault="003B0DAA" w:rsidP="00E73583">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lastRenderedPageBreak/>
              <w:t>Canagliflozin</w:t>
            </w:r>
            <w:r w:rsidR="00737BF1">
              <w:rPr>
                <w:rFonts w:ascii="Times New Roman" w:hAnsi="Times New Roman" w:cs="Times New Roman"/>
                <w:b/>
                <w:bCs/>
                <w:sz w:val="24"/>
                <w:szCs w:val="24"/>
              </w:rPr>
              <w:t xml:space="preserve">: </w:t>
            </w:r>
            <w:r w:rsidR="00737BF1">
              <w:rPr>
                <w:rFonts w:ascii="Times New Roman" w:hAnsi="Times New Roman" w:cs="Times New Roman"/>
                <w:sz w:val="24"/>
                <w:szCs w:val="24"/>
              </w:rPr>
              <w:t xml:space="preserve">Pregnancy Category C. (Does not pertain to this patient.) </w:t>
            </w:r>
            <w:r w:rsidR="00440492">
              <w:rPr>
                <w:rFonts w:ascii="Times New Roman" w:hAnsi="Times New Roman" w:cs="Times New Roman"/>
                <w:sz w:val="24"/>
                <w:szCs w:val="24"/>
              </w:rPr>
              <w:t>Beta blockers may mask s/s of hypoglycemia. May increase serum levels of digoxin. Increased risk for hypovolemia</w:t>
            </w:r>
            <w:r w:rsidR="0029291A">
              <w:rPr>
                <w:rFonts w:ascii="Times New Roman" w:hAnsi="Times New Roman" w:cs="Times New Roman"/>
                <w:sz w:val="24"/>
                <w:szCs w:val="24"/>
              </w:rPr>
              <w:t>, hypotension, potassium imbalance with diuretics, ACE inhibitors, and ARBs. Rifampin may decrease efficacy; consider dose increase. Corticosteroids may cause hyperglycemia, insulin and sulfonyl</w:t>
            </w:r>
            <w:r w:rsidR="0045419C">
              <w:rPr>
                <w:rFonts w:ascii="Times New Roman" w:hAnsi="Times New Roman" w:cs="Times New Roman"/>
                <w:sz w:val="24"/>
                <w:szCs w:val="24"/>
              </w:rPr>
              <w:t>ureas increase risk for hypoglycemia. Increased risk for hypoglycemia with alfalfa, aloe, bilberry, bitter melon, burdock, celery, damiana, fenugreek, garcinia, garlic, gin</w:t>
            </w:r>
            <w:r w:rsidR="00EC7583">
              <w:rPr>
                <w:rFonts w:ascii="Times New Roman" w:hAnsi="Times New Roman" w:cs="Times New Roman"/>
                <w:sz w:val="24"/>
                <w:szCs w:val="24"/>
              </w:rPr>
              <w:t>g</w:t>
            </w:r>
            <w:r w:rsidR="0045419C">
              <w:rPr>
                <w:rFonts w:ascii="Times New Roman" w:hAnsi="Times New Roman" w:cs="Times New Roman"/>
                <w:sz w:val="24"/>
                <w:szCs w:val="24"/>
              </w:rPr>
              <w:t xml:space="preserve">er, ginseng, </w:t>
            </w:r>
            <w:proofErr w:type="spellStart"/>
            <w:r w:rsidR="0045419C">
              <w:rPr>
                <w:rFonts w:ascii="Times New Roman" w:hAnsi="Times New Roman" w:cs="Times New Roman"/>
                <w:sz w:val="24"/>
                <w:szCs w:val="24"/>
              </w:rPr>
              <w:t>gymnema</w:t>
            </w:r>
            <w:proofErr w:type="spellEnd"/>
            <w:r w:rsidR="0045419C">
              <w:rPr>
                <w:rFonts w:ascii="Times New Roman" w:hAnsi="Times New Roman" w:cs="Times New Roman"/>
                <w:sz w:val="24"/>
                <w:szCs w:val="24"/>
              </w:rPr>
              <w:t xml:space="preserve">, marshmallow and stinging nettle. </w:t>
            </w:r>
          </w:p>
          <w:p w14:paraId="55D68A8D" w14:textId="71866E30" w:rsidR="00DC530D" w:rsidRPr="007E4720" w:rsidRDefault="00E73583" w:rsidP="00E73583">
            <w:pPr>
              <w:pStyle w:val="ListParagraph"/>
              <w:numPr>
                <w:ilvl w:val="0"/>
                <w:numId w:val="2"/>
              </w:numPr>
              <w:rPr>
                <w:rFonts w:ascii="Times New Roman" w:hAnsi="Times New Roman" w:cs="Times New Roman"/>
                <w:sz w:val="24"/>
                <w:szCs w:val="24"/>
              </w:rPr>
            </w:pPr>
            <w:r>
              <w:rPr>
                <w:rFonts w:ascii="Times New Roman" w:hAnsi="Times New Roman" w:cs="Times New Roman"/>
                <w:b/>
                <w:bCs/>
                <w:sz w:val="24"/>
                <w:szCs w:val="24"/>
              </w:rPr>
              <w:t>Exenatide, Extended Release</w:t>
            </w:r>
            <w:r w:rsidR="003C7F95">
              <w:rPr>
                <w:rFonts w:ascii="Times New Roman" w:hAnsi="Times New Roman" w:cs="Times New Roman"/>
                <w:b/>
                <w:bCs/>
                <w:sz w:val="24"/>
                <w:szCs w:val="24"/>
              </w:rPr>
              <w:t xml:space="preserve">: </w:t>
            </w:r>
            <w:r w:rsidR="003C7F95">
              <w:rPr>
                <w:rFonts w:ascii="Times New Roman" w:hAnsi="Times New Roman" w:cs="Times New Roman"/>
                <w:sz w:val="24"/>
                <w:szCs w:val="24"/>
              </w:rPr>
              <w:t xml:space="preserve">Pregnancy category C. (Does not apply to this patient.) </w:t>
            </w:r>
            <w:r w:rsidR="009D3041">
              <w:rPr>
                <w:rFonts w:ascii="Times New Roman" w:hAnsi="Times New Roman" w:cs="Times New Roman"/>
                <w:sz w:val="24"/>
                <w:szCs w:val="24"/>
              </w:rPr>
              <w:t xml:space="preserve">Use with caution in patients with </w:t>
            </w:r>
            <w:r w:rsidR="00655C5F">
              <w:rPr>
                <w:rFonts w:ascii="Times New Roman" w:hAnsi="Times New Roman" w:cs="Times New Roman"/>
                <w:sz w:val="24"/>
                <w:szCs w:val="24"/>
              </w:rPr>
              <w:t xml:space="preserve">renal impairment. </w:t>
            </w:r>
            <w:r w:rsidR="00543107">
              <w:rPr>
                <w:rFonts w:ascii="Times New Roman" w:hAnsi="Times New Roman" w:cs="Times New Roman"/>
                <w:sz w:val="24"/>
                <w:szCs w:val="24"/>
              </w:rPr>
              <w:t xml:space="preserve">Beta blockers may mask signs of hypoglycemia. Exenatide slows GI transit times; take at least one hour after oral medications dependent on normal transit times for efficacy, such as antibiotics and contraceptives. Corticosteroids may cause hyperglycemia, sulfonylureas increase risk for hypoglycemia (dose adjustment may be needed), may increase effects of Warfarin. Monitor INR closely during therapy. </w:t>
            </w:r>
            <w:r w:rsidR="009A4FCC">
              <w:rPr>
                <w:rFonts w:ascii="Times New Roman" w:hAnsi="Times New Roman" w:cs="Times New Roman"/>
                <w:sz w:val="24"/>
                <w:szCs w:val="24"/>
              </w:rPr>
              <w:t xml:space="preserve">Increased risk for hypoglycemia with alfalfa, aloe, bilberry, bitter melon, burdock, celery, damiana, fenugreek, garcinia, garlic, ginger, ginseng, </w:t>
            </w:r>
            <w:proofErr w:type="spellStart"/>
            <w:r w:rsidR="009A4FCC">
              <w:rPr>
                <w:rFonts w:ascii="Times New Roman" w:hAnsi="Times New Roman" w:cs="Times New Roman"/>
                <w:sz w:val="24"/>
                <w:szCs w:val="24"/>
              </w:rPr>
              <w:t>gymnema</w:t>
            </w:r>
            <w:proofErr w:type="spellEnd"/>
            <w:r w:rsidR="009A4FCC">
              <w:rPr>
                <w:rFonts w:ascii="Times New Roman" w:hAnsi="Times New Roman" w:cs="Times New Roman"/>
                <w:sz w:val="24"/>
                <w:szCs w:val="24"/>
              </w:rPr>
              <w:t xml:space="preserve">, marshmallow and stinging nettle. Increased risk for hypoglycemia and pancreatitis with alcohol consumption. </w:t>
            </w:r>
            <w:r w:rsidR="00350CC3">
              <w:rPr>
                <w:rFonts w:ascii="Times New Roman" w:hAnsi="Times New Roman" w:cs="Times New Roman"/>
                <w:sz w:val="24"/>
                <w:szCs w:val="24"/>
              </w:rPr>
              <w:t>(Mosby, 2017)</w:t>
            </w:r>
          </w:p>
        </w:tc>
      </w:tr>
      <w:tr w:rsidR="004D1F76" w:rsidRPr="007E4720" w14:paraId="52214866" w14:textId="77777777" w:rsidTr="00187C4D">
        <w:trPr>
          <w:trHeight w:val="800"/>
        </w:trPr>
        <w:tc>
          <w:tcPr>
            <w:tcW w:w="265" w:type="dxa"/>
          </w:tcPr>
          <w:p w14:paraId="4222F34B" w14:textId="77777777" w:rsidR="004D1F76" w:rsidRPr="007E4720" w:rsidRDefault="004D1F76" w:rsidP="007830E8">
            <w:pPr>
              <w:rPr>
                <w:rFonts w:ascii="Times New Roman" w:hAnsi="Times New Roman" w:cs="Times New Roman"/>
                <w:sz w:val="24"/>
                <w:szCs w:val="24"/>
              </w:rPr>
            </w:pPr>
          </w:p>
        </w:tc>
        <w:tc>
          <w:tcPr>
            <w:tcW w:w="2670" w:type="dxa"/>
          </w:tcPr>
          <w:p w14:paraId="51DC5F49" w14:textId="77777777" w:rsidR="004D1F76" w:rsidRPr="007E4720" w:rsidRDefault="00701D6B" w:rsidP="007830E8">
            <w:pPr>
              <w:rPr>
                <w:rFonts w:ascii="Times New Roman" w:hAnsi="Times New Roman" w:cs="Times New Roman"/>
                <w:sz w:val="24"/>
                <w:szCs w:val="24"/>
              </w:rPr>
            </w:pPr>
            <w:r w:rsidRPr="007E4720">
              <w:rPr>
                <w:rFonts w:ascii="Times New Roman" w:hAnsi="Times New Roman" w:cs="Times New Roman"/>
                <w:b/>
                <w:sz w:val="24"/>
                <w:szCs w:val="24"/>
              </w:rPr>
              <w:t>C</w:t>
            </w:r>
            <w:r w:rsidRPr="007E4720">
              <w:rPr>
                <w:rFonts w:ascii="Times New Roman" w:hAnsi="Times New Roman" w:cs="Times New Roman"/>
                <w:sz w:val="24"/>
                <w:szCs w:val="24"/>
              </w:rPr>
              <w:t>ost/</w:t>
            </w:r>
            <w:r w:rsidRPr="007E4720">
              <w:rPr>
                <w:rFonts w:ascii="Times New Roman" w:hAnsi="Times New Roman" w:cs="Times New Roman"/>
                <w:b/>
                <w:sz w:val="24"/>
                <w:szCs w:val="24"/>
              </w:rPr>
              <w:t>C</w:t>
            </w:r>
            <w:r w:rsidRPr="007E4720">
              <w:rPr>
                <w:rFonts w:ascii="Times New Roman" w:hAnsi="Times New Roman" w:cs="Times New Roman"/>
                <w:sz w:val="24"/>
                <w:szCs w:val="24"/>
              </w:rPr>
              <w:t>ompliance</w:t>
            </w:r>
          </w:p>
        </w:tc>
        <w:tc>
          <w:tcPr>
            <w:tcW w:w="7050" w:type="dxa"/>
          </w:tcPr>
          <w:p w14:paraId="28350BB8" w14:textId="2FFED708" w:rsidR="00E73583" w:rsidRDefault="00E73583" w:rsidP="00E73583">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Metformin</w:t>
            </w:r>
            <w:r w:rsidR="001D6C1B">
              <w:rPr>
                <w:rFonts w:ascii="Times New Roman" w:hAnsi="Times New Roman" w:cs="Times New Roman"/>
                <w:b/>
                <w:bCs/>
                <w:sz w:val="24"/>
                <w:szCs w:val="24"/>
              </w:rPr>
              <w:t xml:space="preserve">: </w:t>
            </w:r>
            <w:r w:rsidR="001D6C1B">
              <w:rPr>
                <w:rFonts w:ascii="Times New Roman" w:hAnsi="Times New Roman" w:cs="Times New Roman"/>
                <w:sz w:val="24"/>
                <w:szCs w:val="24"/>
              </w:rPr>
              <w:t xml:space="preserve">Metformin is formulary with most insurances for the treatment of DM, including Medicare. </w:t>
            </w:r>
            <w:r w:rsidR="00095712">
              <w:rPr>
                <w:rFonts w:ascii="Times New Roman" w:hAnsi="Times New Roman" w:cs="Times New Roman"/>
                <w:sz w:val="24"/>
                <w:szCs w:val="24"/>
              </w:rPr>
              <w:t>OOP costs with Good Rx are approximately $7 for a one month supply. Compliance with BID/TID dosing is essential for optimal outcomes</w:t>
            </w:r>
            <w:r w:rsidR="00302900">
              <w:rPr>
                <w:rFonts w:ascii="Times New Roman" w:hAnsi="Times New Roman" w:cs="Times New Roman"/>
                <w:sz w:val="24"/>
                <w:szCs w:val="24"/>
              </w:rPr>
              <w:t xml:space="preserve">; pt should be educated on the risks of non-compliance and continued chronic hyperglycemia. </w:t>
            </w:r>
          </w:p>
          <w:p w14:paraId="160F51E9" w14:textId="79BE861E" w:rsidR="00E73583" w:rsidRDefault="003B0DAA" w:rsidP="00E73583">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Canagliflozin</w:t>
            </w:r>
            <w:r w:rsidR="000C0B49">
              <w:rPr>
                <w:rFonts w:ascii="Times New Roman" w:hAnsi="Times New Roman" w:cs="Times New Roman"/>
                <w:b/>
                <w:bCs/>
                <w:sz w:val="24"/>
                <w:szCs w:val="24"/>
              </w:rPr>
              <w:t xml:space="preserve">: </w:t>
            </w:r>
            <w:r w:rsidR="000C0B49">
              <w:rPr>
                <w:rFonts w:ascii="Times New Roman" w:hAnsi="Times New Roman" w:cs="Times New Roman"/>
                <w:sz w:val="24"/>
                <w:szCs w:val="24"/>
              </w:rPr>
              <w:t xml:space="preserve">Out of pocket costs with Good Rx exceed $500 for a one month supply. May require pre-authorization for insurance coverage. If medication will not be covered by insurance, look for alternative drugs within their insurance formulary, as cost may be prohibitive to compliance. </w:t>
            </w:r>
          </w:p>
          <w:p w14:paraId="0E404199" w14:textId="4165374F" w:rsidR="00DC530D" w:rsidRPr="007E4720" w:rsidRDefault="00E73583" w:rsidP="00E73583">
            <w:pPr>
              <w:pStyle w:val="ListParagraph"/>
              <w:numPr>
                <w:ilvl w:val="0"/>
                <w:numId w:val="2"/>
              </w:numPr>
              <w:rPr>
                <w:rFonts w:ascii="Times New Roman" w:hAnsi="Times New Roman" w:cs="Times New Roman"/>
                <w:sz w:val="24"/>
                <w:szCs w:val="24"/>
              </w:rPr>
            </w:pPr>
            <w:r>
              <w:rPr>
                <w:rFonts w:ascii="Times New Roman" w:hAnsi="Times New Roman" w:cs="Times New Roman"/>
                <w:b/>
                <w:bCs/>
                <w:sz w:val="24"/>
                <w:szCs w:val="24"/>
              </w:rPr>
              <w:t>Exenatide, Extended Release</w:t>
            </w:r>
            <w:r w:rsidR="00A2429C">
              <w:rPr>
                <w:rFonts w:ascii="Times New Roman" w:hAnsi="Times New Roman" w:cs="Times New Roman"/>
                <w:b/>
                <w:bCs/>
                <w:sz w:val="24"/>
                <w:szCs w:val="24"/>
              </w:rPr>
              <w:t xml:space="preserve">: </w:t>
            </w:r>
            <w:r w:rsidR="00A2429C">
              <w:rPr>
                <w:rFonts w:ascii="Times New Roman" w:hAnsi="Times New Roman" w:cs="Times New Roman"/>
                <w:sz w:val="24"/>
                <w:szCs w:val="24"/>
              </w:rPr>
              <w:t>Out of pocket costs with Good Rx exceed $800 for a one month supply. May require pre-authorization for insurance coverage. If medication will not be covered by insurance, look for alternative drugs within their insurance formulary, as cost may be prohibitive to compliance.</w:t>
            </w:r>
          </w:p>
        </w:tc>
      </w:tr>
      <w:tr w:rsidR="004D1F76" w:rsidRPr="007E4720" w14:paraId="51841ADD" w14:textId="77777777" w:rsidTr="00187C4D">
        <w:trPr>
          <w:trHeight w:val="2780"/>
        </w:trPr>
        <w:tc>
          <w:tcPr>
            <w:tcW w:w="265" w:type="dxa"/>
          </w:tcPr>
          <w:p w14:paraId="61E34546" w14:textId="77777777" w:rsidR="004D1F76" w:rsidRPr="007E4720" w:rsidRDefault="004D1F76" w:rsidP="007830E8">
            <w:pPr>
              <w:rPr>
                <w:rFonts w:ascii="Times New Roman" w:hAnsi="Times New Roman" w:cs="Times New Roman"/>
                <w:sz w:val="24"/>
                <w:szCs w:val="24"/>
              </w:rPr>
            </w:pPr>
          </w:p>
        </w:tc>
        <w:tc>
          <w:tcPr>
            <w:tcW w:w="2670" w:type="dxa"/>
          </w:tcPr>
          <w:p w14:paraId="66E56E90" w14:textId="77777777" w:rsidR="004D1F76" w:rsidRPr="007E4720" w:rsidRDefault="00701D6B" w:rsidP="007830E8">
            <w:pPr>
              <w:rPr>
                <w:rFonts w:ascii="Times New Roman" w:hAnsi="Times New Roman" w:cs="Times New Roman"/>
                <w:sz w:val="24"/>
                <w:szCs w:val="24"/>
              </w:rPr>
            </w:pPr>
            <w:r w:rsidRPr="007E4720">
              <w:rPr>
                <w:rFonts w:ascii="Times New Roman" w:hAnsi="Times New Roman" w:cs="Times New Roman"/>
                <w:b/>
                <w:sz w:val="24"/>
                <w:szCs w:val="24"/>
              </w:rPr>
              <w:t>E</w:t>
            </w:r>
            <w:r w:rsidRPr="007E4720">
              <w:rPr>
                <w:rFonts w:ascii="Times New Roman" w:hAnsi="Times New Roman" w:cs="Times New Roman"/>
                <w:sz w:val="24"/>
                <w:szCs w:val="24"/>
              </w:rPr>
              <w:t>fficacy</w:t>
            </w:r>
          </w:p>
        </w:tc>
        <w:tc>
          <w:tcPr>
            <w:tcW w:w="7050" w:type="dxa"/>
          </w:tcPr>
          <w:p w14:paraId="0ACF65E1" w14:textId="0D5EE8F4" w:rsidR="004D1F76" w:rsidRPr="007E4720" w:rsidRDefault="00E73583" w:rsidP="007830E8">
            <w:pPr>
              <w:rPr>
                <w:rFonts w:ascii="Times New Roman" w:hAnsi="Times New Roman" w:cs="Times New Roman"/>
                <w:sz w:val="24"/>
                <w:szCs w:val="24"/>
              </w:rPr>
            </w:pPr>
            <w:r>
              <w:rPr>
                <w:rFonts w:ascii="Times New Roman" w:hAnsi="Times New Roman" w:cs="Times New Roman"/>
                <w:sz w:val="24"/>
                <w:szCs w:val="24"/>
              </w:rPr>
              <w:t xml:space="preserve">Efficacy is determined by patient report of resolution of symptoms of hyperglycemia and meeting HgbA1c, FBG and bedtime glycemic targets. </w:t>
            </w:r>
          </w:p>
        </w:tc>
      </w:tr>
      <w:tr w:rsidR="004D1F76" w:rsidRPr="007E4720" w14:paraId="279A53F6" w14:textId="77777777" w:rsidTr="00187C4D">
        <w:tc>
          <w:tcPr>
            <w:tcW w:w="265" w:type="dxa"/>
          </w:tcPr>
          <w:p w14:paraId="54077DFB" w14:textId="77777777" w:rsidR="004D1F76" w:rsidRPr="007E4720" w:rsidRDefault="004D1F76" w:rsidP="007830E8">
            <w:pPr>
              <w:rPr>
                <w:rFonts w:ascii="Times New Roman" w:hAnsi="Times New Roman" w:cs="Times New Roman"/>
                <w:sz w:val="24"/>
                <w:szCs w:val="24"/>
              </w:rPr>
            </w:pPr>
          </w:p>
        </w:tc>
        <w:tc>
          <w:tcPr>
            <w:tcW w:w="2670" w:type="dxa"/>
          </w:tcPr>
          <w:p w14:paraId="3E78DD07" w14:textId="77777777" w:rsidR="004D1F76" w:rsidRPr="007E4720" w:rsidRDefault="00701D6B" w:rsidP="007830E8">
            <w:pPr>
              <w:rPr>
                <w:rFonts w:ascii="Times New Roman" w:hAnsi="Times New Roman" w:cs="Times New Roman"/>
                <w:sz w:val="24"/>
                <w:szCs w:val="24"/>
              </w:rPr>
            </w:pPr>
            <w:r w:rsidRPr="007E4720">
              <w:rPr>
                <w:rFonts w:ascii="Times New Roman" w:hAnsi="Times New Roman" w:cs="Times New Roman"/>
                <w:b/>
                <w:sz w:val="24"/>
                <w:szCs w:val="24"/>
              </w:rPr>
              <w:t>A</w:t>
            </w:r>
            <w:r w:rsidRPr="007E4720">
              <w:rPr>
                <w:rFonts w:ascii="Times New Roman" w:hAnsi="Times New Roman" w:cs="Times New Roman"/>
                <w:sz w:val="24"/>
                <w:szCs w:val="24"/>
              </w:rPr>
              <w:t>dverse effects</w:t>
            </w:r>
          </w:p>
        </w:tc>
        <w:tc>
          <w:tcPr>
            <w:tcW w:w="7050" w:type="dxa"/>
          </w:tcPr>
          <w:p w14:paraId="0D1B88E6" w14:textId="78BBADC4" w:rsidR="00E73583" w:rsidRDefault="00E73583" w:rsidP="00E73583">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Metformin</w:t>
            </w:r>
            <w:r w:rsidR="00C10F06">
              <w:rPr>
                <w:rFonts w:ascii="Times New Roman" w:hAnsi="Times New Roman" w:cs="Times New Roman"/>
                <w:b/>
                <w:bCs/>
                <w:sz w:val="24"/>
                <w:szCs w:val="24"/>
              </w:rPr>
              <w:t xml:space="preserve">: </w:t>
            </w:r>
            <w:r w:rsidR="00C10F06">
              <w:rPr>
                <w:rFonts w:ascii="Times New Roman" w:hAnsi="Times New Roman" w:cs="Times New Roman"/>
                <w:sz w:val="24"/>
                <w:szCs w:val="24"/>
              </w:rPr>
              <w:t xml:space="preserve">Common side effects include transient nausea, vomiting, diarrhea, bloating, flatulence, and anorexia. May cause metallic taste in mouth that will </w:t>
            </w:r>
            <w:proofErr w:type="spellStart"/>
            <w:r w:rsidR="00C10F06">
              <w:rPr>
                <w:rFonts w:ascii="Times New Roman" w:hAnsi="Times New Roman" w:cs="Times New Roman"/>
                <w:sz w:val="24"/>
                <w:szCs w:val="24"/>
              </w:rPr>
              <w:t>self resolve</w:t>
            </w:r>
            <w:proofErr w:type="spellEnd"/>
            <w:r w:rsidR="00C10F06">
              <w:rPr>
                <w:rFonts w:ascii="Times New Roman" w:hAnsi="Times New Roman" w:cs="Times New Roman"/>
                <w:sz w:val="24"/>
                <w:szCs w:val="24"/>
              </w:rPr>
              <w:t>. Severe reaction includes lactic acidosis</w:t>
            </w:r>
            <w:r w:rsidR="004D4B3C">
              <w:rPr>
                <w:rFonts w:ascii="Times New Roman" w:hAnsi="Times New Roman" w:cs="Times New Roman"/>
                <w:sz w:val="24"/>
                <w:szCs w:val="24"/>
              </w:rPr>
              <w:t xml:space="preserve">. </w:t>
            </w:r>
          </w:p>
          <w:p w14:paraId="745F9221" w14:textId="6823062D" w:rsidR="00E73583" w:rsidRDefault="003B0DAA" w:rsidP="00E73583">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Canagliflozin</w:t>
            </w:r>
            <w:r w:rsidR="00C579A3">
              <w:rPr>
                <w:rFonts w:ascii="Times New Roman" w:hAnsi="Times New Roman" w:cs="Times New Roman"/>
                <w:b/>
                <w:bCs/>
                <w:sz w:val="24"/>
                <w:szCs w:val="24"/>
              </w:rPr>
              <w:t xml:space="preserve">: </w:t>
            </w:r>
            <w:r w:rsidR="00C579A3">
              <w:rPr>
                <w:rFonts w:ascii="Times New Roman" w:hAnsi="Times New Roman" w:cs="Times New Roman"/>
                <w:sz w:val="24"/>
                <w:szCs w:val="24"/>
              </w:rPr>
              <w:t xml:space="preserve">Common side effects include mycotic infection of the genitals, </w:t>
            </w:r>
            <w:r w:rsidR="000E1610">
              <w:rPr>
                <w:rFonts w:ascii="Times New Roman" w:hAnsi="Times New Roman" w:cs="Times New Roman"/>
                <w:sz w:val="24"/>
                <w:szCs w:val="24"/>
              </w:rPr>
              <w:t xml:space="preserve">UTI, increased thirst and urination, constipation, nausea, orthostatic hypotension, syncope, dehydration. Rarely, may cause glycemia, particularly when used in conjunction with other antidiabetic drugs. Rarely, may cause pancreatitis, hyperkalemia. </w:t>
            </w:r>
          </w:p>
          <w:p w14:paraId="3DC41D06" w14:textId="4D3E246B" w:rsidR="00DC530D" w:rsidRPr="007E4720" w:rsidRDefault="00E73583" w:rsidP="00E73583">
            <w:pPr>
              <w:pStyle w:val="ListParagraph"/>
              <w:numPr>
                <w:ilvl w:val="0"/>
                <w:numId w:val="2"/>
              </w:numPr>
              <w:rPr>
                <w:rFonts w:ascii="Times New Roman" w:hAnsi="Times New Roman" w:cs="Times New Roman"/>
                <w:sz w:val="24"/>
                <w:szCs w:val="24"/>
              </w:rPr>
            </w:pPr>
            <w:r>
              <w:rPr>
                <w:rFonts w:ascii="Times New Roman" w:hAnsi="Times New Roman" w:cs="Times New Roman"/>
                <w:b/>
                <w:bCs/>
                <w:sz w:val="24"/>
                <w:szCs w:val="24"/>
              </w:rPr>
              <w:t>Exenatide, Extended Release</w:t>
            </w:r>
            <w:r w:rsidR="009A4FCC">
              <w:rPr>
                <w:rFonts w:ascii="Times New Roman" w:hAnsi="Times New Roman" w:cs="Times New Roman"/>
                <w:b/>
                <w:bCs/>
                <w:sz w:val="24"/>
                <w:szCs w:val="24"/>
              </w:rPr>
              <w:t xml:space="preserve">: </w:t>
            </w:r>
            <w:r w:rsidR="009A4FCC">
              <w:rPr>
                <w:rFonts w:ascii="Times New Roman" w:hAnsi="Times New Roman" w:cs="Times New Roman"/>
                <w:sz w:val="24"/>
                <w:szCs w:val="24"/>
              </w:rPr>
              <w:t xml:space="preserve">Common side effects include n/v/d, hypoglycemia, anxiety, dizziness, HA, dyspepsia, GERD, </w:t>
            </w:r>
            <w:proofErr w:type="spellStart"/>
            <w:r w:rsidR="009A4FCC">
              <w:rPr>
                <w:rFonts w:ascii="Times New Roman" w:hAnsi="Times New Roman" w:cs="Times New Roman"/>
                <w:sz w:val="24"/>
                <w:szCs w:val="24"/>
              </w:rPr>
              <w:t>anonrexia</w:t>
            </w:r>
            <w:proofErr w:type="spellEnd"/>
            <w:r w:rsidR="009A4FCC">
              <w:rPr>
                <w:rFonts w:ascii="Times New Roman" w:hAnsi="Times New Roman" w:cs="Times New Roman"/>
                <w:sz w:val="24"/>
                <w:szCs w:val="24"/>
              </w:rPr>
              <w:t xml:space="preserve">, asthenia, hyperhidrosis. Rarely, patients may have injection site reaction, abdominal pain and distention, eructation, flatulence, urticaria, rash. </w:t>
            </w:r>
            <w:r w:rsidR="006035CF">
              <w:rPr>
                <w:rFonts w:ascii="Times New Roman" w:hAnsi="Times New Roman" w:cs="Times New Roman"/>
                <w:sz w:val="24"/>
                <w:szCs w:val="24"/>
              </w:rPr>
              <w:t xml:space="preserve">Rare but severe reactions include hypoglycemia, n/v with dehydration, pancreatitis, renal dysfunction, </w:t>
            </w:r>
            <w:proofErr w:type="spellStart"/>
            <w:r w:rsidR="006035CF">
              <w:rPr>
                <w:rFonts w:ascii="Times New Roman" w:hAnsi="Times New Roman" w:cs="Times New Roman"/>
                <w:sz w:val="24"/>
                <w:szCs w:val="24"/>
              </w:rPr>
              <w:t>thymoid</w:t>
            </w:r>
            <w:proofErr w:type="spellEnd"/>
            <w:r w:rsidR="006035CF">
              <w:rPr>
                <w:rFonts w:ascii="Times New Roman" w:hAnsi="Times New Roman" w:cs="Times New Roman"/>
                <w:sz w:val="24"/>
                <w:szCs w:val="24"/>
              </w:rPr>
              <w:t xml:space="preserve"> tumors. </w:t>
            </w:r>
            <w:r w:rsidR="00350CC3">
              <w:rPr>
                <w:rFonts w:ascii="Times New Roman" w:hAnsi="Times New Roman" w:cs="Times New Roman"/>
                <w:sz w:val="24"/>
                <w:szCs w:val="24"/>
              </w:rPr>
              <w:t>(Mosby, 2017)</w:t>
            </w:r>
          </w:p>
        </w:tc>
      </w:tr>
      <w:tr w:rsidR="007830E8" w:rsidRPr="007E4720" w14:paraId="42DA9E5A" w14:textId="77777777" w:rsidTr="00701D6B">
        <w:tblPrEx>
          <w:tblLook w:val="0000" w:firstRow="0" w:lastRow="0" w:firstColumn="0" w:lastColumn="0" w:noHBand="0" w:noVBand="0"/>
        </w:tblPrEx>
        <w:trPr>
          <w:trHeight w:val="1412"/>
        </w:trPr>
        <w:tc>
          <w:tcPr>
            <w:tcW w:w="9985" w:type="dxa"/>
            <w:gridSpan w:val="3"/>
          </w:tcPr>
          <w:p w14:paraId="6693C39B" w14:textId="77777777" w:rsidR="00701D6B" w:rsidRPr="007E4720" w:rsidRDefault="00701D6B" w:rsidP="007830E8">
            <w:pPr>
              <w:rPr>
                <w:rFonts w:ascii="Times New Roman" w:hAnsi="Times New Roman" w:cs="Times New Roman"/>
                <w:sz w:val="24"/>
                <w:szCs w:val="24"/>
              </w:rPr>
            </w:pPr>
          </w:p>
          <w:p w14:paraId="4DC3F6D6" w14:textId="72600284" w:rsidR="00701D6B" w:rsidRPr="007E4720" w:rsidRDefault="00666C48" w:rsidP="007830E8">
            <w:pPr>
              <w:rPr>
                <w:rFonts w:ascii="Times New Roman" w:hAnsi="Times New Roman" w:cs="Times New Roman"/>
                <w:sz w:val="24"/>
                <w:szCs w:val="24"/>
              </w:rPr>
            </w:pPr>
            <w:r w:rsidRPr="007E4720">
              <w:rPr>
                <w:rFonts w:ascii="Times New Roman" w:hAnsi="Times New Roman" w:cs="Times New Roman"/>
                <w:sz w:val="24"/>
                <w:szCs w:val="24"/>
              </w:rPr>
              <w:t>Considering the step-wise process above,</w:t>
            </w:r>
            <w:r w:rsidR="00E73583">
              <w:rPr>
                <w:rFonts w:ascii="Times New Roman" w:hAnsi="Times New Roman" w:cs="Times New Roman"/>
                <w:sz w:val="24"/>
                <w:szCs w:val="24"/>
              </w:rPr>
              <w:t xml:space="preserve"> lifestyle changes and prescription of Metformin</w:t>
            </w:r>
            <w:r w:rsidRPr="007E4720">
              <w:rPr>
                <w:rFonts w:ascii="Times New Roman" w:hAnsi="Times New Roman" w:cs="Times New Roman"/>
                <w:sz w:val="24"/>
                <w:szCs w:val="24"/>
              </w:rPr>
              <w:t xml:space="preserve"> is determined as the most appropriate alternative for this case, as other therapeutic alternatives have been ruled out.</w:t>
            </w:r>
          </w:p>
          <w:p w14:paraId="71E14E4D" w14:textId="77777777" w:rsidR="00187C4D" w:rsidRPr="007E4720" w:rsidRDefault="00187C4D" w:rsidP="007830E8">
            <w:pPr>
              <w:rPr>
                <w:rFonts w:ascii="Times New Roman" w:hAnsi="Times New Roman" w:cs="Times New Roman"/>
                <w:sz w:val="24"/>
                <w:szCs w:val="24"/>
              </w:rPr>
            </w:pPr>
          </w:p>
          <w:p w14:paraId="6B85C2A7" w14:textId="77777777" w:rsidR="00187C4D" w:rsidRPr="007E4720" w:rsidRDefault="00187C4D" w:rsidP="007830E8">
            <w:pPr>
              <w:rPr>
                <w:rFonts w:ascii="Times New Roman" w:hAnsi="Times New Roman" w:cs="Times New Roman"/>
                <w:sz w:val="24"/>
                <w:szCs w:val="24"/>
              </w:rPr>
            </w:pPr>
          </w:p>
          <w:p w14:paraId="0589630D" w14:textId="77777777" w:rsidR="00187C4D" w:rsidRPr="007E4720" w:rsidRDefault="00187C4D" w:rsidP="007830E8">
            <w:pPr>
              <w:rPr>
                <w:rFonts w:ascii="Times New Roman" w:hAnsi="Times New Roman" w:cs="Times New Roman"/>
                <w:sz w:val="24"/>
                <w:szCs w:val="24"/>
              </w:rPr>
            </w:pPr>
          </w:p>
          <w:p w14:paraId="02A9B03C" w14:textId="77777777" w:rsidR="00187C4D" w:rsidRPr="007E4720" w:rsidRDefault="00187C4D" w:rsidP="007830E8">
            <w:pPr>
              <w:rPr>
                <w:rFonts w:ascii="Times New Roman" w:hAnsi="Times New Roman" w:cs="Times New Roman"/>
                <w:sz w:val="24"/>
                <w:szCs w:val="24"/>
              </w:rPr>
            </w:pPr>
          </w:p>
        </w:tc>
      </w:tr>
      <w:tr w:rsidR="007830E8" w:rsidRPr="007E4720" w14:paraId="60AEAEC0" w14:textId="77777777" w:rsidTr="00187C4D">
        <w:trPr>
          <w:trHeight w:val="1880"/>
        </w:trPr>
        <w:tc>
          <w:tcPr>
            <w:tcW w:w="265" w:type="dxa"/>
          </w:tcPr>
          <w:p w14:paraId="57F9B125" w14:textId="77777777" w:rsidR="007830E8" w:rsidRPr="007E4720" w:rsidRDefault="007830E8">
            <w:pPr>
              <w:rPr>
                <w:rFonts w:ascii="Times New Roman" w:hAnsi="Times New Roman" w:cs="Times New Roman"/>
                <w:sz w:val="24"/>
                <w:szCs w:val="24"/>
              </w:rPr>
            </w:pPr>
          </w:p>
          <w:p w14:paraId="210DD01B" w14:textId="77777777" w:rsidR="00187C4D" w:rsidRPr="007E4720" w:rsidRDefault="00187C4D">
            <w:pPr>
              <w:rPr>
                <w:rFonts w:ascii="Times New Roman" w:hAnsi="Times New Roman" w:cs="Times New Roman"/>
                <w:sz w:val="24"/>
                <w:szCs w:val="24"/>
              </w:rPr>
            </w:pPr>
          </w:p>
          <w:p w14:paraId="29F5525C" w14:textId="77777777" w:rsidR="00701D6B" w:rsidRPr="007E4720" w:rsidRDefault="00701D6B">
            <w:pPr>
              <w:rPr>
                <w:rFonts w:ascii="Times New Roman" w:hAnsi="Times New Roman" w:cs="Times New Roman"/>
                <w:sz w:val="24"/>
                <w:szCs w:val="24"/>
              </w:rPr>
            </w:pPr>
          </w:p>
        </w:tc>
        <w:tc>
          <w:tcPr>
            <w:tcW w:w="2670" w:type="dxa"/>
          </w:tcPr>
          <w:p w14:paraId="43654FE4" w14:textId="77777777" w:rsidR="007830E8" w:rsidRPr="007E4720" w:rsidRDefault="00701D6B">
            <w:pPr>
              <w:rPr>
                <w:rFonts w:ascii="Times New Roman" w:hAnsi="Times New Roman" w:cs="Times New Roman"/>
                <w:sz w:val="24"/>
                <w:szCs w:val="24"/>
              </w:rPr>
            </w:pPr>
            <w:r w:rsidRPr="007E4720">
              <w:rPr>
                <w:rFonts w:ascii="Times New Roman" w:hAnsi="Times New Roman" w:cs="Times New Roman"/>
                <w:b/>
                <w:sz w:val="24"/>
                <w:szCs w:val="24"/>
              </w:rPr>
              <w:t>D</w:t>
            </w:r>
            <w:r w:rsidRPr="007E4720">
              <w:rPr>
                <w:rFonts w:ascii="Times New Roman" w:hAnsi="Times New Roman" w:cs="Times New Roman"/>
                <w:sz w:val="24"/>
                <w:szCs w:val="24"/>
              </w:rPr>
              <w:t>ose/</w:t>
            </w:r>
            <w:r w:rsidRPr="007E4720">
              <w:rPr>
                <w:rFonts w:ascii="Times New Roman" w:hAnsi="Times New Roman" w:cs="Times New Roman"/>
                <w:b/>
                <w:sz w:val="24"/>
                <w:szCs w:val="24"/>
              </w:rPr>
              <w:t>D</w:t>
            </w:r>
            <w:r w:rsidRPr="007E4720">
              <w:rPr>
                <w:rFonts w:ascii="Times New Roman" w:hAnsi="Times New Roman" w:cs="Times New Roman"/>
                <w:sz w:val="24"/>
                <w:szCs w:val="24"/>
              </w:rPr>
              <w:t>uration/</w:t>
            </w:r>
            <w:r w:rsidRPr="007E4720">
              <w:rPr>
                <w:rFonts w:ascii="Times New Roman" w:hAnsi="Times New Roman" w:cs="Times New Roman"/>
                <w:b/>
                <w:sz w:val="24"/>
                <w:szCs w:val="24"/>
              </w:rPr>
              <w:t>D</w:t>
            </w:r>
            <w:r w:rsidRPr="007E4720">
              <w:rPr>
                <w:rFonts w:ascii="Times New Roman" w:hAnsi="Times New Roman" w:cs="Times New Roman"/>
                <w:sz w:val="24"/>
                <w:szCs w:val="24"/>
              </w:rPr>
              <w:t>irection</w:t>
            </w:r>
          </w:p>
          <w:p w14:paraId="20B6A7B6" w14:textId="77777777" w:rsidR="00A400D0" w:rsidRPr="007E4720" w:rsidRDefault="00A400D0">
            <w:pPr>
              <w:rPr>
                <w:rFonts w:ascii="Times New Roman" w:hAnsi="Times New Roman" w:cs="Times New Roman"/>
                <w:sz w:val="24"/>
                <w:szCs w:val="24"/>
              </w:rPr>
            </w:pPr>
            <w:r w:rsidRPr="007E4720">
              <w:rPr>
                <w:rFonts w:ascii="Times New Roman" w:hAnsi="Times New Roman" w:cs="Times New Roman"/>
                <w:sz w:val="24"/>
                <w:szCs w:val="24"/>
              </w:rPr>
              <w:t>Patient Education</w:t>
            </w:r>
          </w:p>
        </w:tc>
        <w:tc>
          <w:tcPr>
            <w:tcW w:w="7050" w:type="dxa"/>
          </w:tcPr>
          <w:p w14:paraId="684D7378" w14:textId="5D2F8C1B" w:rsidR="00E73583" w:rsidRDefault="00E73583" w:rsidP="00E73583">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Metformin</w:t>
            </w:r>
            <w:r w:rsidR="00CC142C">
              <w:rPr>
                <w:rFonts w:ascii="Times New Roman" w:hAnsi="Times New Roman" w:cs="Times New Roman"/>
                <w:b/>
                <w:bCs/>
                <w:sz w:val="24"/>
                <w:szCs w:val="24"/>
              </w:rPr>
              <w:t xml:space="preserve">: </w:t>
            </w:r>
            <w:r w:rsidR="00CC142C">
              <w:rPr>
                <w:rFonts w:ascii="Times New Roman" w:hAnsi="Times New Roman" w:cs="Times New Roman"/>
                <w:sz w:val="24"/>
                <w:szCs w:val="24"/>
              </w:rPr>
              <w:t xml:space="preserve">Initial dosing in 500 mg BID, taken with morning and evening meals. Increase in 500 mg increments up to </w:t>
            </w:r>
            <w:r w:rsidR="00C86B91">
              <w:rPr>
                <w:rFonts w:ascii="Times New Roman" w:hAnsi="Times New Roman" w:cs="Times New Roman"/>
                <w:sz w:val="24"/>
                <w:szCs w:val="24"/>
              </w:rPr>
              <w:t xml:space="preserve">2500 mg/day. If 2500 mg/day is required, increased dosing to TID. </w:t>
            </w:r>
            <w:r w:rsidR="00FE7655">
              <w:rPr>
                <w:rFonts w:ascii="Times New Roman" w:hAnsi="Times New Roman" w:cs="Times New Roman"/>
                <w:sz w:val="24"/>
                <w:szCs w:val="24"/>
              </w:rPr>
              <w:t>Educate patient on s/s of hypoglycemia</w:t>
            </w:r>
            <w:r w:rsidR="003E18BD">
              <w:rPr>
                <w:rFonts w:ascii="Times New Roman" w:hAnsi="Times New Roman" w:cs="Times New Roman"/>
                <w:sz w:val="24"/>
                <w:szCs w:val="24"/>
              </w:rPr>
              <w:t xml:space="preserve"> and hyperglycemia. Review steps to take in the event of hypoglycemia (15g of carbs, recheck in 15 minutes.) Take with meals. May see a soft mass that resembles the original tablet in feces; this is not an indicator that medication was not absorbed. </w:t>
            </w:r>
          </w:p>
          <w:p w14:paraId="7E53A39F" w14:textId="7EEB6897" w:rsidR="00E73583" w:rsidRDefault="003B0DAA" w:rsidP="00E73583">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Canagliflozin</w:t>
            </w:r>
            <w:r w:rsidR="00CF09AA">
              <w:rPr>
                <w:rFonts w:ascii="Times New Roman" w:hAnsi="Times New Roman" w:cs="Times New Roman"/>
                <w:b/>
                <w:bCs/>
                <w:sz w:val="24"/>
                <w:szCs w:val="24"/>
              </w:rPr>
              <w:t xml:space="preserve">: </w:t>
            </w:r>
            <w:r w:rsidR="00CF09AA">
              <w:rPr>
                <w:rFonts w:ascii="Times New Roman" w:hAnsi="Times New Roman" w:cs="Times New Roman"/>
                <w:sz w:val="24"/>
                <w:szCs w:val="24"/>
              </w:rPr>
              <w:t xml:space="preserve">Initial dosing is 100 mg once daily in adults without renal impairment. See renal dosing for </w:t>
            </w:r>
            <w:r w:rsidR="005274D3">
              <w:rPr>
                <w:rFonts w:ascii="Times New Roman" w:hAnsi="Times New Roman" w:cs="Times New Roman"/>
                <w:sz w:val="24"/>
                <w:szCs w:val="24"/>
              </w:rPr>
              <w:t xml:space="preserve">decreased </w:t>
            </w:r>
            <w:r w:rsidR="005274D3">
              <w:rPr>
                <w:rFonts w:ascii="Times New Roman" w:hAnsi="Times New Roman" w:cs="Times New Roman"/>
                <w:sz w:val="24"/>
                <w:szCs w:val="24"/>
              </w:rPr>
              <w:lastRenderedPageBreak/>
              <w:t xml:space="preserve">eGFR. </w:t>
            </w:r>
            <w:r w:rsidR="00CF09AA">
              <w:rPr>
                <w:rFonts w:ascii="Times New Roman" w:hAnsi="Times New Roman" w:cs="Times New Roman"/>
                <w:sz w:val="24"/>
                <w:szCs w:val="24"/>
              </w:rPr>
              <w:t xml:space="preserve">Take </w:t>
            </w:r>
            <w:r w:rsidR="006A2631">
              <w:rPr>
                <w:rFonts w:ascii="Times New Roman" w:hAnsi="Times New Roman" w:cs="Times New Roman"/>
                <w:sz w:val="24"/>
                <w:szCs w:val="24"/>
              </w:rPr>
              <w:t xml:space="preserve">one hour </w:t>
            </w:r>
            <w:r w:rsidR="00CF09AA">
              <w:rPr>
                <w:rFonts w:ascii="Times New Roman" w:hAnsi="Times New Roman" w:cs="Times New Roman"/>
                <w:sz w:val="24"/>
                <w:szCs w:val="24"/>
              </w:rPr>
              <w:t>before first meal of the day</w:t>
            </w:r>
            <w:r w:rsidR="006A2631">
              <w:rPr>
                <w:rFonts w:ascii="Times New Roman" w:hAnsi="Times New Roman" w:cs="Times New Roman"/>
                <w:sz w:val="24"/>
                <w:szCs w:val="24"/>
              </w:rPr>
              <w:t xml:space="preserve"> for best results; however, may be taken without regard for food</w:t>
            </w:r>
            <w:r w:rsidR="00CF09AA">
              <w:rPr>
                <w:rFonts w:ascii="Times New Roman" w:hAnsi="Times New Roman" w:cs="Times New Roman"/>
                <w:sz w:val="24"/>
                <w:szCs w:val="24"/>
              </w:rPr>
              <w:t xml:space="preserve">. </w:t>
            </w:r>
          </w:p>
          <w:p w14:paraId="09E2E66E" w14:textId="6407F5CF" w:rsidR="00AB7086" w:rsidRPr="007E4720" w:rsidRDefault="00E73583" w:rsidP="00E73583">
            <w:pPr>
              <w:pStyle w:val="ListParagraph"/>
              <w:numPr>
                <w:ilvl w:val="0"/>
                <w:numId w:val="2"/>
              </w:numPr>
              <w:rPr>
                <w:rFonts w:ascii="Times New Roman" w:hAnsi="Times New Roman" w:cs="Times New Roman"/>
                <w:sz w:val="24"/>
                <w:szCs w:val="24"/>
              </w:rPr>
            </w:pPr>
            <w:r>
              <w:rPr>
                <w:rFonts w:ascii="Times New Roman" w:hAnsi="Times New Roman" w:cs="Times New Roman"/>
                <w:b/>
                <w:bCs/>
                <w:sz w:val="24"/>
                <w:szCs w:val="24"/>
              </w:rPr>
              <w:t>Exenatide, Extended Release</w:t>
            </w:r>
            <w:r w:rsidR="006F38EF">
              <w:rPr>
                <w:rFonts w:ascii="Times New Roman" w:hAnsi="Times New Roman" w:cs="Times New Roman"/>
                <w:b/>
                <w:bCs/>
                <w:sz w:val="24"/>
                <w:szCs w:val="24"/>
              </w:rPr>
              <w:t xml:space="preserve">: </w:t>
            </w:r>
            <w:r w:rsidR="006F38EF">
              <w:rPr>
                <w:rFonts w:ascii="Times New Roman" w:hAnsi="Times New Roman" w:cs="Times New Roman"/>
                <w:sz w:val="24"/>
                <w:szCs w:val="24"/>
              </w:rPr>
              <w:t xml:space="preserve">2 mg </w:t>
            </w:r>
            <w:r w:rsidR="007F0C1C">
              <w:rPr>
                <w:rFonts w:ascii="Times New Roman" w:hAnsi="Times New Roman" w:cs="Times New Roman"/>
                <w:sz w:val="24"/>
                <w:szCs w:val="24"/>
              </w:rPr>
              <w:t xml:space="preserve">given once every 7 days. Must be as close to due date as possible. This is an injectable medication; pt must be taught proper SC administration. </w:t>
            </w:r>
            <w:r w:rsidR="00350CC3">
              <w:rPr>
                <w:rFonts w:ascii="Times New Roman" w:hAnsi="Times New Roman" w:cs="Times New Roman"/>
                <w:sz w:val="24"/>
                <w:szCs w:val="24"/>
              </w:rPr>
              <w:t>Discuss when to call provider 2/2 to changes in glucose needs (increased exercise, illness, etc.) (Mosby, 2017)</w:t>
            </w:r>
          </w:p>
        </w:tc>
      </w:tr>
      <w:tr w:rsidR="007830E8" w:rsidRPr="007E4720" w14:paraId="301022D0" w14:textId="77777777" w:rsidTr="00187C4D">
        <w:trPr>
          <w:trHeight w:val="2510"/>
        </w:trPr>
        <w:tc>
          <w:tcPr>
            <w:tcW w:w="265" w:type="dxa"/>
          </w:tcPr>
          <w:p w14:paraId="2872DCB5" w14:textId="77777777" w:rsidR="007830E8" w:rsidRPr="007E4720" w:rsidRDefault="007830E8">
            <w:pPr>
              <w:rPr>
                <w:rFonts w:ascii="Times New Roman" w:hAnsi="Times New Roman" w:cs="Times New Roman"/>
                <w:sz w:val="24"/>
                <w:szCs w:val="24"/>
              </w:rPr>
            </w:pPr>
          </w:p>
        </w:tc>
        <w:tc>
          <w:tcPr>
            <w:tcW w:w="2670" w:type="dxa"/>
          </w:tcPr>
          <w:p w14:paraId="5989E73D" w14:textId="77777777" w:rsidR="007830E8" w:rsidRPr="007E4720" w:rsidRDefault="00701D6B">
            <w:pPr>
              <w:rPr>
                <w:rFonts w:ascii="Times New Roman" w:hAnsi="Times New Roman" w:cs="Times New Roman"/>
                <w:i/>
                <w:sz w:val="24"/>
                <w:szCs w:val="24"/>
              </w:rPr>
            </w:pPr>
            <w:r w:rsidRPr="007E4720">
              <w:rPr>
                <w:rFonts w:ascii="Times New Roman" w:hAnsi="Times New Roman" w:cs="Times New Roman"/>
                <w:i/>
                <w:sz w:val="24"/>
                <w:szCs w:val="24"/>
              </w:rPr>
              <w:t>Identify what needs to be monitored</w:t>
            </w:r>
          </w:p>
        </w:tc>
        <w:tc>
          <w:tcPr>
            <w:tcW w:w="7050" w:type="dxa"/>
          </w:tcPr>
          <w:p w14:paraId="706C3469" w14:textId="77777777" w:rsidR="00AB7086" w:rsidRDefault="00E73583" w:rsidP="00BF533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Check HgbA1c every three months until glycemic targets are reached, then at least 1-2 times per year after. </w:t>
            </w:r>
          </w:p>
          <w:p w14:paraId="5BF48F12" w14:textId="77777777" w:rsidR="00E73583" w:rsidRDefault="00E73583" w:rsidP="00BF533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Monitor fasting BG once daily while medications are being titrated, unless patient is likely to experience excessive anxiety and/or treatment non-compliance secondary to daily monitoring, in which case cessation of </w:t>
            </w:r>
            <w:proofErr w:type="spellStart"/>
            <w:r>
              <w:rPr>
                <w:rFonts w:ascii="Times New Roman" w:hAnsi="Times New Roman" w:cs="Times New Roman"/>
                <w:sz w:val="24"/>
                <w:szCs w:val="24"/>
              </w:rPr>
              <w:t>self monitoring</w:t>
            </w:r>
            <w:proofErr w:type="spellEnd"/>
            <w:r>
              <w:rPr>
                <w:rFonts w:ascii="Times New Roman" w:hAnsi="Times New Roman" w:cs="Times New Roman"/>
                <w:sz w:val="24"/>
                <w:szCs w:val="24"/>
              </w:rPr>
              <w:t xml:space="preserve"> can be discontinued and patient can follow up in the office every 3 months. </w:t>
            </w:r>
          </w:p>
          <w:p w14:paraId="34CB75BB" w14:textId="77777777" w:rsidR="00E73583" w:rsidRDefault="00E73583" w:rsidP="00BF533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Monitor lipids, BP and renal function to identify progression of complications secondary to disease. </w:t>
            </w:r>
            <w:r w:rsidR="00BF49CF">
              <w:rPr>
                <w:rFonts w:ascii="Times New Roman" w:hAnsi="Times New Roman" w:cs="Times New Roman"/>
                <w:sz w:val="24"/>
                <w:szCs w:val="24"/>
              </w:rPr>
              <w:t xml:space="preserve"> </w:t>
            </w:r>
          </w:p>
          <w:p w14:paraId="3A500C27" w14:textId="77777777" w:rsidR="00F77A1A" w:rsidRDefault="00F77A1A" w:rsidP="00BF533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Metformin may cause B12 deficiency and megaloblastic anemia; monitor CBC.</w:t>
            </w:r>
            <w:r w:rsidR="00C22F3B">
              <w:rPr>
                <w:rFonts w:ascii="Times New Roman" w:hAnsi="Times New Roman" w:cs="Times New Roman"/>
                <w:sz w:val="24"/>
                <w:szCs w:val="24"/>
              </w:rPr>
              <w:t xml:space="preserve"> Obtain Hgb, Hct, RBC count</w:t>
            </w:r>
            <w:r w:rsidR="00FE7655">
              <w:rPr>
                <w:rFonts w:ascii="Times New Roman" w:hAnsi="Times New Roman" w:cs="Times New Roman"/>
                <w:sz w:val="24"/>
                <w:szCs w:val="24"/>
              </w:rPr>
              <w:t>, reticulocytes, folic acid,</w:t>
            </w:r>
            <w:r w:rsidR="00C22F3B">
              <w:rPr>
                <w:rFonts w:ascii="Times New Roman" w:hAnsi="Times New Roman" w:cs="Times New Roman"/>
                <w:sz w:val="24"/>
                <w:szCs w:val="24"/>
              </w:rPr>
              <w:t xml:space="preserve"> and serum creatinine a</w:t>
            </w:r>
            <w:r w:rsidR="00FE7655">
              <w:rPr>
                <w:rFonts w:ascii="Times New Roman" w:hAnsi="Times New Roman" w:cs="Times New Roman"/>
                <w:sz w:val="24"/>
                <w:szCs w:val="24"/>
              </w:rPr>
              <w:t>t initiation of therapy and annually thereafter.</w:t>
            </w:r>
            <w:r>
              <w:rPr>
                <w:rFonts w:ascii="Times New Roman" w:hAnsi="Times New Roman" w:cs="Times New Roman"/>
                <w:sz w:val="24"/>
                <w:szCs w:val="24"/>
              </w:rPr>
              <w:t xml:space="preserve"> (Mosby, 2017)</w:t>
            </w:r>
          </w:p>
          <w:p w14:paraId="487489BB" w14:textId="77777777" w:rsidR="00934ECA" w:rsidRDefault="00934ECA" w:rsidP="00BF533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Canagliflozin may </w:t>
            </w:r>
            <w:r w:rsidR="001A15ED">
              <w:rPr>
                <w:rFonts w:ascii="Times New Roman" w:hAnsi="Times New Roman" w:cs="Times New Roman"/>
                <w:sz w:val="24"/>
                <w:szCs w:val="24"/>
              </w:rPr>
              <w:t xml:space="preserve">increase serum creatinine, decrease eGFR, increase serum potassium and LDL cholesterol. </w:t>
            </w:r>
            <w:r w:rsidR="00C579A3">
              <w:rPr>
                <w:rFonts w:ascii="Times New Roman" w:hAnsi="Times New Roman" w:cs="Times New Roman"/>
                <w:sz w:val="24"/>
                <w:szCs w:val="24"/>
              </w:rPr>
              <w:t xml:space="preserve">Monitor with annual testing, educate patient on s/s of increased potassium. </w:t>
            </w:r>
          </w:p>
          <w:p w14:paraId="1A79070C" w14:textId="206DF758" w:rsidR="009A4FCC" w:rsidRPr="007E4720" w:rsidRDefault="009A4FCC" w:rsidP="00BF533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Exenatide may increase serum creatinine, amylase, and lipase; monitor with annual testing. Educate patient on s/s of pancreatitis. </w:t>
            </w:r>
            <w:r w:rsidR="00350CC3">
              <w:rPr>
                <w:rFonts w:ascii="Times New Roman" w:hAnsi="Times New Roman" w:cs="Times New Roman"/>
                <w:sz w:val="24"/>
                <w:szCs w:val="24"/>
              </w:rPr>
              <w:t>(Mosby, 2017)</w:t>
            </w:r>
          </w:p>
        </w:tc>
      </w:tr>
    </w:tbl>
    <w:p w14:paraId="76145C07" w14:textId="03D67B55" w:rsidR="00B13647" w:rsidRPr="007E4720" w:rsidRDefault="00B13647">
      <w:pPr>
        <w:rPr>
          <w:rFonts w:ascii="Times New Roman" w:hAnsi="Times New Roman" w:cs="Times New Roman"/>
          <w:sz w:val="24"/>
          <w:szCs w:val="24"/>
        </w:rPr>
      </w:pPr>
    </w:p>
    <w:p w14:paraId="59228F44" w14:textId="77777777" w:rsidR="00AC5CC9" w:rsidRPr="007E4720" w:rsidRDefault="00AC5CC9" w:rsidP="00AC5CC9">
      <w:pPr>
        <w:rPr>
          <w:rFonts w:ascii="Times New Roman" w:hAnsi="Times New Roman" w:cs="Times New Roman"/>
          <w:sz w:val="24"/>
          <w:szCs w:val="24"/>
        </w:rPr>
      </w:pPr>
      <w:r w:rsidRPr="007E4720">
        <w:rPr>
          <w:rFonts w:ascii="Times New Roman" w:hAnsi="Times New Roman" w:cs="Times New Roman"/>
          <w:sz w:val="24"/>
          <w:szCs w:val="24"/>
        </w:rPr>
        <w:t>References</w:t>
      </w:r>
    </w:p>
    <w:p w14:paraId="5A9D03A3" w14:textId="104CAF18" w:rsidR="00E8718D" w:rsidRPr="00E8718D" w:rsidRDefault="00E8718D" w:rsidP="005F5B6F">
      <w:pPr>
        <w:pStyle w:val="NormalWeb"/>
        <w:ind w:left="567" w:hanging="567"/>
        <w:rPr>
          <w:i/>
          <w:iCs/>
        </w:rPr>
      </w:pPr>
      <w:r>
        <w:t xml:space="preserve">American Association of Clinical Endocrinology. (2020) </w:t>
      </w:r>
      <w:r w:rsidR="00472223">
        <w:rPr>
          <w:i/>
          <w:iCs/>
        </w:rPr>
        <w:t xml:space="preserve">AACE comprehensive type 2 diabetes management algorithm. </w:t>
      </w:r>
    </w:p>
    <w:p w14:paraId="385477EB" w14:textId="5EAE2A63" w:rsidR="005F5B6F" w:rsidRPr="007E4720" w:rsidRDefault="005F5B6F" w:rsidP="005F5B6F">
      <w:pPr>
        <w:pStyle w:val="NormalWeb"/>
        <w:ind w:left="567" w:hanging="567"/>
      </w:pPr>
      <w:r w:rsidRPr="007E4720">
        <w:t xml:space="preserve">American Diabetes Association. (2021). 2. classification and diagnosis of </w:t>
      </w:r>
      <w:proofErr w:type="spellStart"/>
      <w:r w:rsidRPr="007E4720">
        <w:t>diabetes:</w:t>
      </w:r>
      <w:r w:rsidRPr="007E4720">
        <w:rPr>
          <w:i/>
          <w:iCs/>
        </w:rPr>
        <w:t>standards</w:t>
      </w:r>
      <w:proofErr w:type="spellEnd"/>
      <w:r w:rsidRPr="007E4720">
        <w:rPr>
          <w:i/>
          <w:iCs/>
        </w:rPr>
        <w:t xml:space="preserve"> of medical care in diabetes—2022</w:t>
      </w:r>
      <w:r w:rsidRPr="007E4720">
        <w:t xml:space="preserve">. </w:t>
      </w:r>
      <w:r w:rsidRPr="007E4720">
        <w:rPr>
          <w:i/>
          <w:iCs/>
        </w:rPr>
        <w:t>Diabetes Care</w:t>
      </w:r>
      <w:r w:rsidRPr="007E4720">
        <w:t xml:space="preserve">, </w:t>
      </w:r>
      <w:r w:rsidRPr="007E4720">
        <w:rPr>
          <w:i/>
          <w:iCs/>
        </w:rPr>
        <w:t>45</w:t>
      </w:r>
      <w:r w:rsidRPr="007E4720">
        <w:t xml:space="preserve">(Supplement_1). https://doi.org/10.2337/dc22-s002 </w:t>
      </w:r>
    </w:p>
    <w:p w14:paraId="1C999CA5" w14:textId="6915801D" w:rsidR="00615F76" w:rsidRPr="007E4720" w:rsidRDefault="00DF6410" w:rsidP="00AC5CC9">
      <w:pPr>
        <w:pStyle w:val="NormalWeb"/>
        <w:ind w:left="567" w:hanging="567"/>
      </w:pPr>
      <w:r w:rsidRPr="007E4720">
        <w:t xml:space="preserve">American Diabetes </w:t>
      </w:r>
      <w:proofErr w:type="spellStart"/>
      <w:r w:rsidRPr="007E4720">
        <w:t>Assocation</w:t>
      </w:r>
      <w:proofErr w:type="spellEnd"/>
      <w:r w:rsidRPr="007E4720">
        <w:t xml:space="preserve"> (2023) </w:t>
      </w:r>
      <w:r w:rsidRPr="007E4720">
        <w:rPr>
          <w:i/>
          <w:iCs/>
        </w:rPr>
        <w:t>Eating right doesn’t have to be boring</w:t>
      </w:r>
      <w:r w:rsidRPr="007E4720">
        <w:t xml:space="preserve">. </w:t>
      </w:r>
      <w:hyperlink r:id="rId7" w:history="1">
        <w:r w:rsidRPr="007E4720">
          <w:rPr>
            <w:rStyle w:val="Hyperlink"/>
          </w:rPr>
          <w:t>https://diabetes.org/healthy-living/recipes-nutrition</w:t>
        </w:r>
      </w:hyperlink>
      <w:r w:rsidRPr="007E4720">
        <w:t xml:space="preserve"> </w:t>
      </w:r>
    </w:p>
    <w:p w14:paraId="48659BA0" w14:textId="01A6AB45" w:rsidR="00615F76" w:rsidRDefault="00615F76" w:rsidP="00AC5CC9">
      <w:pPr>
        <w:pStyle w:val="NormalWeb"/>
        <w:ind w:left="567" w:hanging="567"/>
      </w:pPr>
      <w:r w:rsidRPr="007E4720">
        <w:t xml:space="preserve">Medicare.gov. (2023) </w:t>
      </w:r>
      <w:r w:rsidRPr="007E4720">
        <w:rPr>
          <w:i/>
          <w:iCs/>
        </w:rPr>
        <w:t xml:space="preserve">Diabetes </w:t>
      </w:r>
      <w:proofErr w:type="spellStart"/>
      <w:r w:rsidRPr="007E4720">
        <w:rPr>
          <w:i/>
          <w:iCs/>
        </w:rPr>
        <w:t>self management</w:t>
      </w:r>
      <w:proofErr w:type="spellEnd"/>
      <w:r w:rsidRPr="007E4720">
        <w:rPr>
          <w:i/>
          <w:iCs/>
        </w:rPr>
        <w:t xml:space="preserve"> training</w:t>
      </w:r>
      <w:r w:rsidRPr="007E4720">
        <w:t xml:space="preserve">. </w:t>
      </w:r>
      <w:hyperlink r:id="rId8" w:history="1">
        <w:r w:rsidRPr="007E4720">
          <w:rPr>
            <w:rStyle w:val="Hyperlink"/>
          </w:rPr>
          <w:t>https://www.medicare.gov/coverage/diabetes-self-management-training</w:t>
        </w:r>
      </w:hyperlink>
      <w:r w:rsidRPr="007E4720">
        <w:t xml:space="preserve"> </w:t>
      </w:r>
    </w:p>
    <w:p w14:paraId="43FF7CD5" w14:textId="79F0639C" w:rsidR="00B542FE" w:rsidRPr="007E4720" w:rsidRDefault="00B542FE" w:rsidP="00AC5CC9">
      <w:pPr>
        <w:pStyle w:val="NormalWeb"/>
        <w:ind w:left="567" w:hanging="567"/>
      </w:pPr>
      <w:r>
        <w:t xml:space="preserve">Mendoza, M. D., &amp; Hickner, J. (2008). Glucose self-monitoring: think twice for type 2 patients. </w:t>
      </w:r>
      <w:r>
        <w:rPr>
          <w:i/>
          <w:iCs/>
        </w:rPr>
        <w:t>The Journal of family practice</w:t>
      </w:r>
      <w:r>
        <w:t xml:space="preserve">, </w:t>
      </w:r>
      <w:r>
        <w:rPr>
          <w:i/>
          <w:iCs/>
        </w:rPr>
        <w:t>57</w:t>
      </w:r>
      <w:r>
        <w:t>(11), 731–734.</w:t>
      </w:r>
    </w:p>
    <w:p w14:paraId="11CAEB7A" w14:textId="4C1B24F5" w:rsidR="00AC5CC9" w:rsidRPr="007E4720" w:rsidRDefault="00AC5CC9" w:rsidP="00AC5CC9">
      <w:pPr>
        <w:pStyle w:val="NormalWeb"/>
        <w:ind w:left="567" w:hanging="567"/>
      </w:pPr>
      <w:r w:rsidRPr="007E4720">
        <w:lastRenderedPageBreak/>
        <w:t xml:space="preserve">Mosby. (2017). </w:t>
      </w:r>
      <w:r w:rsidRPr="007E4720">
        <w:rPr>
          <w:i/>
          <w:iCs/>
        </w:rPr>
        <w:t>Mosby's drug reference for Health Professions - E-Book</w:t>
      </w:r>
      <w:r w:rsidRPr="007E4720">
        <w:t xml:space="preserve">. Mosby. </w:t>
      </w:r>
    </w:p>
    <w:p w14:paraId="30B867D6" w14:textId="77777777" w:rsidR="00AC5CC9" w:rsidRPr="007E4720" w:rsidRDefault="00AC5CC9" w:rsidP="00AC5CC9">
      <w:pPr>
        <w:rPr>
          <w:rFonts w:ascii="Times New Roman" w:hAnsi="Times New Roman" w:cs="Times New Roman"/>
          <w:sz w:val="24"/>
          <w:szCs w:val="24"/>
        </w:rPr>
      </w:pPr>
      <w:r w:rsidRPr="007E4720">
        <w:rPr>
          <w:rFonts w:ascii="Times New Roman" w:hAnsi="Times New Roman" w:cs="Times New Roman"/>
          <w:sz w:val="24"/>
          <w:szCs w:val="24"/>
        </w:rPr>
        <w:t xml:space="preserve">Woo, T., &amp; Robinson, M. (2020) </w:t>
      </w:r>
      <w:r w:rsidRPr="007E4720">
        <w:rPr>
          <w:rFonts w:ascii="Times New Roman" w:hAnsi="Times New Roman" w:cs="Times New Roman"/>
          <w:i/>
          <w:iCs/>
          <w:sz w:val="24"/>
          <w:szCs w:val="24"/>
        </w:rPr>
        <w:t xml:space="preserve">Pharmacotherapeutics for advanced practice nurse prescribers. </w:t>
      </w:r>
      <w:r w:rsidRPr="007E4720">
        <w:rPr>
          <w:rFonts w:ascii="Times New Roman" w:hAnsi="Times New Roman" w:cs="Times New Roman"/>
          <w:sz w:val="24"/>
          <w:szCs w:val="24"/>
        </w:rPr>
        <w:t>(5</w:t>
      </w:r>
      <w:r w:rsidRPr="007E4720">
        <w:rPr>
          <w:rFonts w:ascii="Times New Roman" w:hAnsi="Times New Roman" w:cs="Times New Roman"/>
          <w:sz w:val="24"/>
          <w:szCs w:val="24"/>
          <w:vertAlign w:val="superscript"/>
        </w:rPr>
        <w:t>th</w:t>
      </w:r>
      <w:r w:rsidRPr="007E4720">
        <w:rPr>
          <w:rFonts w:ascii="Times New Roman" w:hAnsi="Times New Roman" w:cs="Times New Roman"/>
          <w:sz w:val="24"/>
          <w:szCs w:val="24"/>
        </w:rPr>
        <w:t xml:space="preserve"> ed.) F.A. Davis Company.</w:t>
      </w:r>
    </w:p>
    <w:p w14:paraId="564611B7" w14:textId="77777777" w:rsidR="00AC5CC9" w:rsidRPr="007E4720" w:rsidRDefault="00AC5CC9">
      <w:pPr>
        <w:rPr>
          <w:rFonts w:ascii="Times New Roman" w:hAnsi="Times New Roman" w:cs="Times New Roman"/>
          <w:sz w:val="24"/>
          <w:szCs w:val="24"/>
        </w:rPr>
      </w:pPr>
    </w:p>
    <w:sectPr w:rsidR="00AC5CC9" w:rsidRPr="007E47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31228" w14:textId="77777777" w:rsidR="00F36297" w:rsidRDefault="00F36297" w:rsidP="00E168A5">
      <w:pPr>
        <w:spacing w:after="0" w:line="240" w:lineRule="auto"/>
      </w:pPr>
      <w:r>
        <w:separator/>
      </w:r>
    </w:p>
  </w:endnote>
  <w:endnote w:type="continuationSeparator" w:id="0">
    <w:p w14:paraId="0BF299A5" w14:textId="77777777" w:rsidR="00F36297" w:rsidRDefault="00F36297" w:rsidP="00E16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3C152" w14:textId="77777777" w:rsidR="00F36297" w:rsidRDefault="00F36297" w:rsidP="00E168A5">
      <w:pPr>
        <w:spacing w:after="0" w:line="240" w:lineRule="auto"/>
      </w:pPr>
      <w:r>
        <w:separator/>
      </w:r>
    </w:p>
  </w:footnote>
  <w:footnote w:type="continuationSeparator" w:id="0">
    <w:p w14:paraId="4BB26C44" w14:textId="77777777" w:rsidR="00F36297" w:rsidRDefault="00F36297" w:rsidP="00E168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F7FC2"/>
    <w:multiLevelType w:val="hybridMultilevel"/>
    <w:tmpl w:val="079C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602078"/>
    <w:multiLevelType w:val="hybridMultilevel"/>
    <w:tmpl w:val="5036A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0494580">
    <w:abstractNumId w:val="0"/>
  </w:num>
  <w:num w:numId="2" w16cid:durableId="948700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647"/>
    <w:rsid w:val="00021FB7"/>
    <w:rsid w:val="000267E4"/>
    <w:rsid w:val="00037CC2"/>
    <w:rsid w:val="00064D6B"/>
    <w:rsid w:val="00095712"/>
    <w:rsid w:val="000C0B49"/>
    <w:rsid w:val="000D1B76"/>
    <w:rsid w:val="000E1610"/>
    <w:rsid w:val="00102B44"/>
    <w:rsid w:val="00117158"/>
    <w:rsid w:val="00187C4D"/>
    <w:rsid w:val="00194CEA"/>
    <w:rsid w:val="001A15ED"/>
    <w:rsid w:val="001A7D9E"/>
    <w:rsid w:val="001B54BF"/>
    <w:rsid w:val="001B6681"/>
    <w:rsid w:val="001D6C1B"/>
    <w:rsid w:val="001F6273"/>
    <w:rsid w:val="00235BB2"/>
    <w:rsid w:val="00255B3E"/>
    <w:rsid w:val="002927E4"/>
    <w:rsid w:val="0029291A"/>
    <w:rsid w:val="002B4FD3"/>
    <w:rsid w:val="00302900"/>
    <w:rsid w:val="003248D2"/>
    <w:rsid w:val="00350CC3"/>
    <w:rsid w:val="003739CB"/>
    <w:rsid w:val="003B0DAA"/>
    <w:rsid w:val="003C6147"/>
    <w:rsid w:val="003C7F95"/>
    <w:rsid w:val="003E18BD"/>
    <w:rsid w:val="003E66C3"/>
    <w:rsid w:val="00440492"/>
    <w:rsid w:val="0045419C"/>
    <w:rsid w:val="00472223"/>
    <w:rsid w:val="0048286C"/>
    <w:rsid w:val="004A6815"/>
    <w:rsid w:val="004B4EB0"/>
    <w:rsid w:val="004D1F76"/>
    <w:rsid w:val="004D4B3C"/>
    <w:rsid w:val="005274D3"/>
    <w:rsid w:val="00543107"/>
    <w:rsid w:val="005476E5"/>
    <w:rsid w:val="0057320C"/>
    <w:rsid w:val="0058374C"/>
    <w:rsid w:val="0059539F"/>
    <w:rsid w:val="005A26B3"/>
    <w:rsid w:val="005E2AA9"/>
    <w:rsid w:val="005F5B6F"/>
    <w:rsid w:val="006035CF"/>
    <w:rsid w:val="006075A8"/>
    <w:rsid w:val="00615F76"/>
    <w:rsid w:val="0062411B"/>
    <w:rsid w:val="006420BA"/>
    <w:rsid w:val="00655C5F"/>
    <w:rsid w:val="0066358B"/>
    <w:rsid w:val="00666C48"/>
    <w:rsid w:val="0068741A"/>
    <w:rsid w:val="006A2631"/>
    <w:rsid w:val="006F38EF"/>
    <w:rsid w:val="00701D6B"/>
    <w:rsid w:val="00704C02"/>
    <w:rsid w:val="00737BF1"/>
    <w:rsid w:val="0074064C"/>
    <w:rsid w:val="007649DB"/>
    <w:rsid w:val="00767792"/>
    <w:rsid w:val="007830E8"/>
    <w:rsid w:val="007A107D"/>
    <w:rsid w:val="007A216D"/>
    <w:rsid w:val="007D3C5F"/>
    <w:rsid w:val="007E4720"/>
    <w:rsid w:val="007F0C1C"/>
    <w:rsid w:val="0085765F"/>
    <w:rsid w:val="008A3D2D"/>
    <w:rsid w:val="00934ECA"/>
    <w:rsid w:val="00985485"/>
    <w:rsid w:val="009A4FCC"/>
    <w:rsid w:val="009C4BD2"/>
    <w:rsid w:val="009D3041"/>
    <w:rsid w:val="009D7066"/>
    <w:rsid w:val="009F6BFB"/>
    <w:rsid w:val="00A2429C"/>
    <w:rsid w:val="00A276D7"/>
    <w:rsid w:val="00A400D0"/>
    <w:rsid w:val="00A96A1B"/>
    <w:rsid w:val="00AB7086"/>
    <w:rsid w:val="00AC46BC"/>
    <w:rsid w:val="00AC5CC9"/>
    <w:rsid w:val="00AE2245"/>
    <w:rsid w:val="00AE6C81"/>
    <w:rsid w:val="00AE780D"/>
    <w:rsid w:val="00B13647"/>
    <w:rsid w:val="00B542FE"/>
    <w:rsid w:val="00BD18D1"/>
    <w:rsid w:val="00BF49CF"/>
    <w:rsid w:val="00BF5337"/>
    <w:rsid w:val="00C10F06"/>
    <w:rsid w:val="00C22F3B"/>
    <w:rsid w:val="00C579A3"/>
    <w:rsid w:val="00C86B91"/>
    <w:rsid w:val="00CC142C"/>
    <w:rsid w:val="00CF09AA"/>
    <w:rsid w:val="00D233C9"/>
    <w:rsid w:val="00DC530D"/>
    <w:rsid w:val="00DF1E9C"/>
    <w:rsid w:val="00DF6410"/>
    <w:rsid w:val="00E168A5"/>
    <w:rsid w:val="00E65D33"/>
    <w:rsid w:val="00E71867"/>
    <w:rsid w:val="00E73583"/>
    <w:rsid w:val="00E769F2"/>
    <w:rsid w:val="00E825F9"/>
    <w:rsid w:val="00E8718D"/>
    <w:rsid w:val="00EA7251"/>
    <w:rsid w:val="00EC7583"/>
    <w:rsid w:val="00ED4FFB"/>
    <w:rsid w:val="00F16A01"/>
    <w:rsid w:val="00F240C1"/>
    <w:rsid w:val="00F36297"/>
    <w:rsid w:val="00F77A1A"/>
    <w:rsid w:val="00FA18DC"/>
    <w:rsid w:val="00FE7655"/>
    <w:rsid w:val="00FF249D"/>
    <w:rsid w:val="00FF3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AE2BD"/>
  <w15:chartTrackingRefBased/>
  <w15:docId w15:val="{7B0EB807-83D9-49AB-9E34-A7C5B38AF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13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18D1"/>
    <w:pPr>
      <w:ind w:left="720"/>
      <w:contextualSpacing/>
    </w:pPr>
  </w:style>
  <w:style w:type="paragraph" w:styleId="NormalWeb">
    <w:name w:val="Normal (Web)"/>
    <w:basedOn w:val="Normal"/>
    <w:uiPriority w:val="99"/>
    <w:unhideWhenUsed/>
    <w:rsid w:val="00AC5CC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15F76"/>
    <w:rPr>
      <w:color w:val="0563C1" w:themeColor="hyperlink"/>
      <w:u w:val="single"/>
    </w:rPr>
  </w:style>
  <w:style w:type="character" w:styleId="UnresolvedMention">
    <w:name w:val="Unresolved Mention"/>
    <w:basedOn w:val="DefaultParagraphFont"/>
    <w:uiPriority w:val="99"/>
    <w:semiHidden/>
    <w:unhideWhenUsed/>
    <w:rsid w:val="00615F76"/>
    <w:rPr>
      <w:color w:val="605E5C"/>
      <w:shd w:val="clear" w:color="auto" w:fill="E1DFDD"/>
    </w:rPr>
  </w:style>
  <w:style w:type="paragraph" w:styleId="Header">
    <w:name w:val="header"/>
    <w:basedOn w:val="Normal"/>
    <w:link w:val="HeaderChar"/>
    <w:uiPriority w:val="99"/>
    <w:unhideWhenUsed/>
    <w:rsid w:val="00E168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8A5"/>
  </w:style>
  <w:style w:type="paragraph" w:styleId="Footer">
    <w:name w:val="footer"/>
    <w:basedOn w:val="Normal"/>
    <w:link w:val="FooterChar"/>
    <w:uiPriority w:val="99"/>
    <w:unhideWhenUsed/>
    <w:rsid w:val="00E168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8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5552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dicare.gov/coverage/diabetes-self-management-training" TargetMode="External"/><Relationship Id="rId3" Type="http://schemas.openxmlformats.org/officeDocument/2006/relationships/settings" Target="settings.xml"/><Relationship Id="rId7" Type="http://schemas.openxmlformats.org/officeDocument/2006/relationships/hyperlink" Target="https://diabetes.org/healthy-living/recipes-nutri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5</Pages>
  <Words>1296</Words>
  <Characters>7392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Walsh University</Company>
  <LinksUpToDate>false</LinksUpToDate>
  <CharactersWithSpaces>8671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Finneran</dc:creator>
  <cp:keywords/>
  <dc:description/>
  <cp:lastModifiedBy>Renee Malove</cp:lastModifiedBy>
  <cp:revision>65</cp:revision>
  <dcterms:created xsi:type="dcterms:W3CDTF">2023-02-26T15:58:00Z</dcterms:created>
  <dcterms:modified xsi:type="dcterms:W3CDTF">2023-03-20T00:02:00Z</dcterms:modified>
</cp:coreProperties>
</file>