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 </w:t>
      </w:r>
    </w:p>
    <w:p w14:paraId="00000002"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 </w:t>
      </w:r>
    </w:p>
    <w:p w14:paraId="00000003"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 </w:t>
      </w:r>
    </w:p>
    <w:p w14:paraId="00000004"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 </w:t>
      </w:r>
    </w:p>
    <w:p w14:paraId="00000005" w14:textId="77777777" w:rsidR="00EA606F" w:rsidRPr="00042720" w:rsidRDefault="00042720" w:rsidP="00042720">
      <w:pPr>
        <w:spacing w:line="480" w:lineRule="auto"/>
        <w:jc w:val="center"/>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Research Article Critique</w:t>
      </w:r>
    </w:p>
    <w:p w14:paraId="00000006"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 </w:t>
      </w:r>
    </w:p>
    <w:p w14:paraId="00000007"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 </w:t>
      </w:r>
    </w:p>
    <w:p w14:paraId="00000008"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 </w:t>
      </w:r>
    </w:p>
    <w:p w14:paraId="00000009" w14:textId="77777777" w:rsidR="00EA606F" w:rsidRPr="00042720" w:rsidRDefault="00042720" w:rsidP="00042720">
      <w:pPr>
        <w:spacing w:line="480" w:lineRule="auto"/>
        <w:jc w:val="center"/>
        <w:rPr>
          <w:rFonts w:ascii="Times New Roman" w:eastAsia="Times New Roman" w:hAnsi="Times New Roman" w:cs="Times New Roman"/>
          <w:color w:val="333333"/>
        </w:rPr>
      </w:pPr>
      <w:r w:rsidRPr="00042720">
        <w:rPr>
          <w:rFonts w:ascii="Times New Roman" w:eastAsia="Times New Roman" w:hAnsi="Times New Roman" w:cs="Times New Roman"/>
          <w:color w:val="333333"/>
        </w:rPr>
        <w:t>Ashlyn Barlow, America Lawrence, Renee Malove, and Jill Miller</w:t>
      </w:r>
    </w:p>
    <w:p w14:paraId="0000000A" w14:textId="77777777" w:rsidR="00EA606F" w:rsidRPr="00042720" w:rsidRDefault="00042720" w:rsidP="00042720">
      <w:pPr>
        <w:spacing w:line="480" w:lineRule="auto"/>
        <w:jc w:val="center"/>
        <w:rPr>
          <w:rFonts w:ascii="Times New Roman" w:eastAsia="Times New Roman" w:hAnsi="Times New Roman" w:cs="Times New Roman"/>
          <w:color w:val="333333"/>
        </w:rPr>
      </w:pPr>
      <w:r w:rsidRPr="00042720">
        <w:rPr>
          <w:rFonts w:ascii="Times New Roman" w:eastAsia="Times New Roman" w:hAnsi="Times New Roman" w:cs="Times New Roman"/>
          <w:color w:val="333333"/>
        </w:rPr>
        <w:t>Walsh University</w:t>
      </w:r>
    </w:p>
    <w:p w14:paraId="0000000B" w14:textId="77777777" w:rsidR="00EA606F" w:rsidRPr="00042720" w:rsidRDefault="00042720" w:rsidP="00042720">
      <w:pPr>
        <w:spacing w:line="480" w:lineRule="auto"/>
        <w:jc w:val="center"/>
        <w:rPr>
          <w:rFonts w:ascii="Times New Roman" w:eastAsia="Times New Roman" w:hAnsi="Times New Roman" w:cs="Times New Roman"/>
          <w:color w:val="333333"/>
        </w:rPr>
      </w:pPr>
      <w:r w:rsidRPr="00042720">
        <w:rPr>
          <w:rFonts w:ascii="Times New Roman" w:eastAsia="Times New Roman" w:hAnsi="Times New Roman" w:cs="Times New Roman"/>
          <w:color w:val="333333"/>
        </w:rPr>
        <w:t>NURS 702- Advanced Clinical Nursing Research</w:t>
      </w:r>
    </w:p>
    <w:p w14:paraId="0000000C" w14:textId="77777777" w:rsidR="00EA606F" w:rsidRPr="00042720" w:rsidRDefault="00042720" w:rsidP="00042720">
      <w:pPr>
        <w:spacing w:line="480" w:lineRule="auto"/>
        <w:jc w:val="center"/>
        <w:rPr>
          <w:rFonts w:ascii="Times New Roman" w:eastAsia="Times New Roman" w:hAnsi="Times New Roman" w:cs="Times New Roman"/>
          <w:color w:val="333333"/>
        </w:rPr>
      </w:pPr>
      <w:r w:rsidRPr="00042720">
        <w:rPr>
          <w:rFonts w:ascii="Times New Roman" w:eastAsia="Times New Roman" w:hAnsi="Times New Roman" w:cs="Times New Roman"/>
          <w:color w:val="333333"/>
        </w:rPr>
        <w:t>Dr. Shelly Amato-Curran</w:t>
      </w:r>
    </w:p>
    <w:p w14:paraId="0000000D" w14:textId="77777777" w:rsidR="00EA606F" w:rsidRPr="00042720" w:rsidRDefault="00042720" w:rsidP="00042720">
      <w:pPr>
        <w:spacing w:line="480" w:lineRule="auto"/>
        <w:jc w:val="center"/>
        <w:rPr>
          <w:rFonts w:ascii="Times New Roman" w:eastAsia="Times New Roman" w:hAnsi="Times New Roman" w:cs="Times New Roman"/>
          <w:color w:val="333333"/>
        </w:rPr>
      </w:pPr>
      <w:r w:rsidRPr="00042720">
        <w:rPr>
          <w:rFonts w:ascii="Times New Roman" w:eastAsia="Times New Roman" w:hAnsi="Times New Roman" w:cs="Times New Roman"/>
          <w:color w:val="333333"/>
        </w:rPr>
        <w:t>May 29, 2022</w:t>
      </w:r>
    </w:p>
    <w:p w14:paraId="0000000E"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 </w:t>
      </w:r>
    </w:p>
    <w:p w14:paraId="0000000F"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 </w:t>
      </w:r>
    </w:p>
    <w:p w14:paraId="00000010"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 </w:t>
      </w:r>
    </w:p>
    <w:p w14:paraId="00000011"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 </w:t>
      </w:r>
    </w:p>
    <w:p w14:paraId="00000012"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 </w:t>
      </w:r>
    </w:p>
    <w:p w14:paraId="00000013"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 </w:t>
      </w:r>
    </w:p>
    <w:p w14:paraId="00000014" w14:textId="77777777" w:rsidR="00EA606F"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 </w:t>
      </w:r>
    </w:p>
    <w:p w14:paraId="3B22C506" w14:textId="77777777" w:rsidR="00603CE5" w:rsidRDefault="00603CE5" w:rsidP="00042720">
      <w:pPr>
        <w:spacing w:line="480" w:lineRule="auto"/>
        <w:rPr>
          <w:rFonts w:ascii="Times New Roman" w:eastAsia="Times New Roman" w:hAnsi="Times New Roman" w:cs="Times New Roman"/>
          <w:b/>
          <w:color w:val="333333"/>
        </w:rPr>
      </w:pPr>
    </w:p>
    <w:p w14:paraId="0E6F5CCF" w14:textId="77777777" w:rsidR="00603CE5" w:rsidRDefault="00603CE5" w:rsidP="00042720">
      <w:pPr>
        <w:spacing w:line="480" w:lineRule="auto"/>
        <w:rPr>
          <w:rFonts w:ascii="Times New Roman" w:eastAsia="Times New Roman" w:hAnsi="Times New Roman" w:cs="Times New Roman"/>
          <w:b/>
          <w:color w:val="333333"/>
        </w:rPr>
      </w:pPr>
    </w:p>
    <w:p w14:paraId="5727086B" w14:textId="77777777" w:rsidR="00603CE5" w:rsidRPr="00042720" w:rsidRDefault="00603CE5" w:rsidP="00042720">
      <w:pPr>
        <w:spacing w:line="480" w:lineRule="auto"/>
        <w:rPr>
          <w:rFonts w:ascii="Times New Roman" w:eastAsia="Times New Roman" w:hAnsi="Times New Roman" w:cs="Times New Roman"/>
          <w:b/>
          <w:color w:val="333333"/>
        </w:rPr>
      </w:pPr>
    </w:p>
    <w:p w14:paraId="00000015"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 </w:t>
      </w:r>
    </w:p>
    <w:p w14:paraId="00000016"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 </w:t>
      </w:r>
    </w:p>
    <w:p w14:paraId="6DF4E345" w14:textId="77777777" w:rsidR="00042720"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 </w:t>
      </w:r>
    </w:p>
    <w:p w14:paraId="0000001A" w14:textId="582DBE93"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lastRenderedPageBreak/>
        <w:t xml:space="preserve">The Problem </w:t>
      </w:r>
    </w:p>
    <w:p w14:paraId="0000001B" w14:textId="77777777" w:rsidR="00EA606F" w:rsidRPr="00042720" w:rsidRDefault="00042720" w:rsidP="00042720">
      <w:pPr>
        <w:spacing w:line="480" w:lineRule="auto"/>
        <w:rPr>
          <w:rFonts w:ascii="Times New Roman" w:eastAsia="Times New Roman" w:hAnsi="Times New Roman" w:cs="Times New Roman"/>
          <w:color w:val="333333"/>
        </w:rPr>
      </w:pPr>
      <w:r w:rsidRPr="00042720">
        <w:rPr>
          <w:rFonts w:ascii="Times New Roman" w:eastAsia="Times New Roman" w:hAnsi="Times New Roman" w:cs="Times New Roman"/>
          <w:color w:val="333333"/>
        </w:rPr>
        <w:t xml:space="preserve">            The problem is significant to nursing and the significance is described. The article discusses that there is controversy regarding whether to allow a patient to consume food or formula via mouth while receiving HFNC therapy. It is also noted that early oral feeding is known to decrease the length of stay for critically ill patients. (Conway et al, 2021) The stated purpose of the research is to examine the incidences of feeding complications experienced by patients following the implementation of a standardized early feeding protocol that would allow the patient to begin oral feeding prior to the discontinuation of HFNC. This will, in turn, standardize the practice of re-implementing oral feeding for patients after initiation of HFNC. (Conway et al, 2021). The data gathered will either validate or disprove the belief that treatment with HFNC puts the patient at an increased risk of aspiration, providing insight into the clinical applicability of the problem by assisting clinicians to determine if patient safety requires that the patient remain NPO for the duration of HFNC therapy.  </w:t>
      </w:r>
    </w:p>
    <w:p w14:paraId="0000001C"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Theoretical Framework</w:t>
      </w:r>
    </w:p>
    <w:p w14:paraId="0000001D" w14:textId="5147DBC8" w:rsidR="00EA606F" w:rsidRPr="00042720" w:rsidRDefault="00042720" w:rsidP="00042720">
      <w:pPr>
        <w:spacing w:line="480" w:lineRule="auto"/>
        <w:ind w:firstLine="720"/>
        <w:rPr>
          <w:rFonts w:ascii="Times New Roman" w:eastAsia="Times New Roman" w:hAnsi="Times New Roman" w:cs="Times New Roman"/>
          <w:color w:val="333333"/>
        </w:rPr>
      </w:pPr>
      <w:r w:rsidRPr="00042720">
        <w:rPr>
          <w:rFonts w:ascii="Times New Roman" w:eastAsia="Times New Roman" w:hAnsi="Times New Roman" w:cs="Times New Roman"/>
          <w:color w:val="333333"/>
        </w:rPr>
        <w:t>A theoretical framework is described within this study. This is understood as a single formal theory that provides the primary means in which the research problem is understood and investigated. (Collins, 2018) In this study, the theoretical framework addresses the overall probability that initiating oral feedings in pediatric patients on high-flow nasal cannula will result in a feeding complication. (Conway et al, 2021)</w:t>
      </w:r>
    </w:p>
    <w:p w14:paraId="0000001E"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Research Hypotheses  </w:t>
      </w:r>
    </w:p>
    <w:p w14:paraId="0000001F" w14:textId="4CC77713" w:rsidR="00EA606F" w:rsidRPr="00042720" w:rsidRDefault="00042720" w:rsidP="00042720">
      <w:pPr>
        <w:spacing w:line="480" w:lineRule="auto"/>
        <w:ind w:firstLine="720"/>
        <w:rPr>
          <w:rFonts w:ascii="Times New Roman" w:eastAsia="Times New Roman" w:hAnsi="Times New Roman" w:cs="Times New Roman"/>
          <w:color w:val="333333"/>
        </w:rPr>
      </w:pPr>
      <w:r w:rsidRPr="00042720">
        <w:rPr>
          <w:rFonts w:ascii="Times New Roman" w:eastAsia="Times New Roman" w:hAnsi="Times New Roman" w:cs="Times New Roman"/>
          <w:color w:val="333333"/>
        </w:rPr>
        <w:t xml:space="preserve">This is an empirical, quasi-experimental research study with an implied research question: Is early implementation of PO feeding while on HFNC safe? This research question is not formally stated in the article. There is no hypothesis; in an empirical study, the conclusions are drawn solely from the results experienced rather than a preformed belief which is then tested. (Penn State, 2021). This empirical evidence was gathered through a comparison study of the frequency of a particular outcome (feeding complications, defined as increased work of breathing within an hour of starting to feed, vomiting, and the need to increase the settings of the HFNC) evaluated pre- and post-implementation of a standardized </w:t>
      </w:r>
      <w:r w:rsidRPr="00042720">
        <w:rPr>
          <w:rFonts w:ascii="Times New Roman" w:eastAsia="Times New Roman" w:hAnsi="Times New Roman" w:cs="Times New Roman"/>
          <w:color w:val="333333"/>
        </w:rPr>
        <w:lastRenderedPageBreak/>
        <w:t xml:space="preserve">HFNC feeding guideline. (Conway et al, 2021).  The research hypotheses/questions flow from the research problem and theoretical framework. The standardized feeding guideline is the criteria being manipulated, although this was done by the medical team rather than the researchers prior to the gathering of this data. The hypotheses/questions are not worded clearly and objectively; in fact, they are not worded at all, merely implied. The objective of the study, however, is clearly stated: “In implementing an HFNC guideline, we aimed to standardize practice, particularly with regards to starting oral feeding safely. The primary outcome of this study was to measure the presence of feeding complications of patients while on HFNC after the implementation of the guideline. The secondary outcomes were the timing of initiation of oral feedings and the measurement of average liters flow on which feeding was initiated.” (Conway et al, 2021) There is no prediction. </w:t>
      </w:r>
    </w:p>
    <w:p w14:paraId="00000020"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Review of the Literature </w:t>
      </w:r>
    </w:p>
    <w:p w14:paraId="00000021" w14:textId="77777777" w:rsidR="00EA606F" w:rsidRPr="00042720" w:rsidRDefault="00042720" w:rsidP="00042720">
      <w:pPr>
        <w:spacing w:line="480" w:lineRule="auto"/>
        <w:rPr>
          <w:rFonts w:ascii="Times New Roman" w:eastAsia="Times New Roman" w:hAnsi="Times New Roman" w:cs="Times New Roman"/>
          <w:color w:val="333333"/>
        </w:rPr>
      </w:pPr>
      <w:r w:rsidRPr="00042720">
        <w:rPr>
          <w:rFonts w:ascii="Times New Roman" w:eastAsia="Times New Roman" w:hAnsi="Times New Roman" w:cs="Times New Roman"/>
          <w:color w:val="333333"/>
        </w:rPr>
        <w:t xml:space="preserve">            The review clearly discusses the outcomes of those studies which support the findings described by the researchers of this study; that PO feeding while on HFNC is safe. The researchers neatly summarize the outcomes of these studies, making them comprehensive, logical, and relevant to the problem, and clearly related to the research purpose. Those studies which researchers state invalidate the conclusion that early oral feeding while on HFNC is unsafe are less clear. There is a focus on the changes in airway pressure established by the utilization of HFNC; however, the significance of these changes and their relationship to the risk of feeding complications, and therefore the research purpose, is not described and is not clearly evident. Dates of studies utilized in the literature review range from 2011 to 2018, making them relatively recent. If any of these studies are flagship research, it is not made clear. The review presents a sufficient body of evidence to suggest that implementing a PO feeding guideline will lead to positive patient outcomes, and that facilities should conduct a first person study by implementing early oral feeding into their clinical practice while continuing to assess for feeding complications. (Conway et al, 2021) </w:t>
      </w:r>
    </w:p>
    <w:p w14:paraId="00000022"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Protection of Human Rights </w:t>
      </w:r>
    </w:p>
    <w:p w14:paraId="00000023" w14:textId="77777777" w:rsidR="00EA606F" w:rsidRPr="00042720" w:rsidRDefault="00042720" w:rsidP="00042720">
      <w:pPr>
        <w:spacing w:line="480" w:lineRule="auto"/>
        <w:ind w:firstLine="720"/>
        <w:rPr>
          <w:rFonts w:ascii="Times New Roman" w:eastAsia="Times New Roman" w:hAnsi="Times New Roman" w:cs="Times New Roman"/>
          <w:color w:val="333333"/>
        </w:rPr>
      </w:pPr>
      <w:r w:rsidRPr="00042720">
        <w:rPr>
          <w:rFonts w:ascii="Times New Roman" w:eastAsia="Times New Roman" w:hAnsi="Times New Roman" w:cs="Times New Roman"/>
          <w:color w:val="333333"/>
        </w:rPr>
        <w:lastRenderedPageBreak/>
        <w:t xml:space="preserve">The researchers note in the article that the research study was approved by the hospital’s Institutional Review Board. (Conway et al, 2021) As a retrospective chart review, there were no potential health risks to the patient and no benefits for participation. The researchers also did not disclose any personal health information for the participants in the article. There is evidence to support that the rights of the patients have been maintained; the disclaimer at the end of the article states that “consent was obtained or waived by all participants in the study”. (Conway et al, 2021) Federal regulations allow Institutional Review Boards to waive the need to obtain informed consent for studies with minimal risks (U.S. Department of Health and Human Services, 2019). </w:t>
      </w:r>
    </w:p>
    <w:p w14:paraId="00000024"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Research Design </w:t>
      </w:r>
    </w:p>
    <w:p w14:paraId="00000025" w14:textId="1952FD1A" w:rsidR="00EA606F" w:rsidRPr="00042720" w:rsidRDefault="00042720" w:rsidP="00042720">
      <w:pPr>
        <w:spacing w:line="480" w:lineRule="auto"/>
        <w:ind w:firstLine="720"/>
        <w:rPr>
          <w:rFonts w:ascii="Times New Roman" w:eastAsia="Times New Roman" w:hAnsi="Times New Roman" w:cs="Times New Roman"/>
          <w:color w:val="333333"/>
        </w:rPr>
      </w:pPr>
      <w:r w:rsidRPr="00042720">
        <w:rPr>
          <w:rFonts w:ascii="Times New Roman" w:eastAsia="Times New Roman" w:hAnsi="Times New Roman" w:cs="Times New Roman"/>
          <w:color w:val="333333"/>
        </w:rPr>
        <w:t>This type of design is a retrospective cohort study. This retrospective cohort study is also a longitudinal design because it examines the health outcome of the sampling population over a specific span of time (Tappen, 2016). This study examines patients with bronchiolitis, comparing the safety of oral feeding and the use of high-flow nasal cannula between 2017 and 2019. This was appropriate for this study, creating a very specific group of study participants that allow the investigator to formulate hypotheses about possible associations between the variable and the outcome. There was a systematic approach leading to HFNC patients that clinically improved, remained unchanged, or clinically worsened (Conway et al, 2021). There is enough information given to permit replication of the study, with the same guidelines and theoretical framework able to be used to guide more research.</w:t>
      </w:r>
    </w:p>
    <w:p w14:paraId="00000026"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Sampling</w:t>
      </w:r>
    </w:p>
    <w:p w14:paraId="00000027" w14:textId="77777777" w:rsidR="00EA606F" w:rsidRPr="00042720" w:rsidRDefault="00042720" w:rsidP="00042720">
      <w:pPr>
        <w:spacing w:line="480" w:lineRule="auto"/>
        <w:ind w:firstLine="720"/>
        <w:rPr>
          <w:rFonts w:ascii="Times New Roman" w:eastAsia="Times New Roman" w:hAnsi="Times New Roman" w:cs="Times New Roman"/>
          <w:color w:val="333333"/>
        </w:rPr>
      </w:pPr>
      <w:r w:rsidRPr="00042720">
        <w:rPr>
          <w:rFonts w:ascii="Times New Roman" w:eastAsia="Times New Roman" w:hAnsi="Times New Roman" w:cs="Times New Roman"/>
          <w:color w:val="333333"/>
        </w:rPr>
        <w:t>The sampling method fits a simple descriptive design, with a target population of diagnosed bronchiolitis patients that are also on high-flow nasal cannula. Sample selection was done through identification via the electronic medical record (EMR). Specific sampling criteria included age less than 2 years, clinically diagnosed with acute bronchiolitis, requiring HFNC (high-flow nasal cannula), with no sample biases such as age, sex, or race. (Conway et al, 2021) The sampling method fits the research design, and the sample size is justified based on criteria.</w:t>
      </w:r>
    </w:p>
    <w:p w14:paraId="00000028"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Data Collection </w:t>
      </w:r>
    </w:p>
    <w:p w14:paraId="00000029" w14:textId="77777777" w:rsidR="00EA606F" w:rsidRPr="00042720" w:rsidRDefault="00042720" w:rsidP="00042720">
      <w:pPr>
        <w:spacing w:line="480" w:lineRule="auto"/>
        <w:ind w:firstLine="720"/>
        <w:rPr>
          <w:rFonts w:ascii="Times New Roman" w:eastAsia="Times New Roman" w:hAnsi="Times New Roman" w:cs="Times New Roman"/>
          <w:color w:val="333333"/>
        </w:rPr>
      </w:pPr>
      <w:r w:rsidRPr="00042720">
        <w:rPr>
          <w:rFonts w:ascii="Times New Roman" w:eastAsia="Times New Roman" w:hAnsi="Times New Roman" w:cs="Times New Roman"/>
          <w:color w:val="333333"/>
        </w:rPr>
        <w:lastRenderedPageBreak/>
        <w:t>As a retrospective chart review, the hospital system’s electronic medical record (EMR) is the instrument that was used for data collection.  The EMR as the instrument was congruent with the research question and theoretical framework by providing researchers with chart notes from providers and staff that could be used to evaluate patient eligibility and determine outcomes. (Conway et al, 2021). The EMR was suitable for use with the study sample. With the study being performed in only one hospital, all admitted patients could be easily accessed and reviewed.  Regarding the reliability and validity of the EMR, the researchers discussed that they relied on accurate progress notes and charting from hospital personnel, including pediatric residents, nurses, and respiratory therapists to monitor adverse events. The researchers did not discuss procedures for testing the reliability and validity of using the EMR as the instrument for data collection. (Conway et al, 2021) Sufficient information about data collection has been given to permit replication of the research study.</w:t>
      </w:r>
    </w:p>
    <w:p w14:paraId="0000002A"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Quantitative Analysis </w:t>
      </w:r>
    </w:p>
    <w:p w14:paraId="0000002B" w14:textId="77777777" w:rsidR="00EA606F" w:rsidRPr="00042720" w:rsidRDefault="00042720" w:rsidP="00042720">
      <w:pPr>
        <w:spacing w:line="480" w:lineRule="auto"/>
        <w:ind w:firstLine="720"/>
        <w:rPr>
          <w:rFonts w:ascii="Times New Roman" w:eastAsia="Times New Roman" w:hAnsi="Times New Roman" w:cs="Times New Roman"/>
          <w:color w:val="333333"/>
        </w:rPr>
      </w:pPr>
      <w:r w:rsidRPr="00042720">
        <w:rPr>
          <w:rFonts w:ascii="Times New Roman" w:eastAsia="Times New Roman" w:hAnsi="Times New Roman" w:cs="Times New Roman"/>
          <w:color w:val="333333"/>
        </w:rPr>
        <w:t>Quantitative analysis serves to verify a hypothesis through reliability and verifiability while using an objective view of reality (Tappen, 2016). In this study, there were objective levels of measurements as well as subjective clinical judgements that influenced the decision in initiating oral feedings. The statistical results of this study were presented clearly and numerically. Whie decreased length of stay was not statistically significant, there was a demonstrable decreased utilization of the PICU indicating the safety and efficacy of initiating oral nutrition. The graphics in Figure 1 show a flowchart which include the guidelines for initiating, maintaining, and weaning an infant on HFNC. (Conway et al, 2021)</w:t>
      </w:r>
    </w:p>
    <w:p w14:paraId="0000002C"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Threats to Internal and External Validity</w:t>
      </w:r>
    </w:p>
    <w:p w14:paraId="0000002D" w14:textId="77777777" w:rsidR="00EA606F" w:rsidRPr="00042720" w:rsidRDefault="00042720" w:rsidP="00042720">
      <w:pPr>
        <w:spacing w:line="480" w:lineRule="auto"/>
        <w:rPr>
          <w:rFonts w:ascii="Times New Roman" w:eastAsia="Times New Roman" w:hAnsi="Times New Roman" w:cs="Times New Roman"/>
          <w:color w:val="333333"/>
        </w:rPr>
      </w:pPr>
      <w:r w:rsidRPr="00042720">
        <w:rPr>
          <w:rFonts w:ascii="Times New Roman" w:eastAsia="Times New Roman" w:hAnsi="Times New Roman" w:cs="Times New Roman"/>
          <w:color w:val="333333"/>
        </w:rPr>
        <w:t xml:space="preserve">            The researchers controlled for threats to external and internal validity by excluding children with other chronic diseases, such as congenital heart disease, cystic fibrosis, immunosuppression, and neuromuscular disease. Also, the researchers attempted to control for internal validity by providing guidelines on which flow rate to start enteral feedings. Despite these guidelines, however, feedings were not always initiated in alignment with the guidelines.  Subjective clinical assessment of work of breathing limited when feedings were initiated (Conway et al., 2021). A major threat to external validity is that the </w:t>
      </w:r>
      <w:r w:rsidRPr="00042720">
        <w:rPr>
          <w:rFonts w:ascii="Times New Roman" w:eastAsia="Times New Roman" w:hAnsi="Times New Roman" w:cs="Times New Roman"/>
          <w:color w:val="333333"/>
        </w:rPr>
        <w:lastRenderedPageBreak/>
        <w:t>researchers did not note if the patients had bronchiolitis caused by respiratory syncytial virus (RSV) and if this was the patient’s first diagnosis of RSV.  The first infection is typically the most severe.  Most subsequent infections are limited only to the upper respiratory tract and have a milder course of illness (</w:t>
      </w:r>
      <w:proofErr w:type="spellStart"/>
      <w:r w:rsidRPr="00042720">
        <w:rPr>
          <w:rFonts w:ascii="Times New Roman" w:eastAsia="Times New Roman" w:hAnsi="Times New Roman" w:cs="Times New Roman"/>
          <w:color w:val="333333"/>
        </w:rPr>
        <w:t>Piedimonte</w:t>
      </w:r>
      <w:proofErr w:type="spellEnd"/>
      <w:r w:rsidRPr="00042720">
        <w:rPr>
          <w:rFonts w:ascii="Times New Roman" w:eastAsia="Times New Roman" w:hAnsi="Times New Roman" w:cs="Times New Roman"/>
          <w:color w:val="333333"/>
        </w:rPr>
        <w:t xml:space="preserve"> &amp; Perez, 2014). Research participants who had a previous infection of RSV may have had a milder illness and shorter hospital stay simply due to having a prior RSV infection, and not related to their treatment. </w:t>
      </w:r>
    </w:p>
    <w:p w14:paraId="0000002E" w14:textId="77777777" w:rsidR="00EA606F" w:rsidRPr="00042720" w:rsidRDefault="00042720" w:rsidP="00042720">
      <w:pPr>
        <w:spacing w:line="480" w:lineRule="auto"/>
        <w:rPr>
          <w:rFonts w:ascii="Times New Roman" w:eastAsia="Times New Roman" w:hAnsi="Times New Roman" w:cs="Times New Roman"/>
          <w:b/>
          <w:color w:val="333333"/>
        </w:rPr>
      </w:pPr>
      <w:r w:rsidRPr="00042720">
        <w:rPr>
          <w:rFonts w:ascii="Times New Roman" w:eastAsia="Times New Roman" w:hAnsi="Times New Roman" w:cs="Times New Roman"/>
          <w:b/>
          <w:color w:val="333333"/>
        </w:rPr>
        <w:t xml:space="preserve">Conclusions and Recommendations </w:t>
      </w:r>
    </w:p>
    <w:p w14:paraId="0000002F" w14:textId="473A1A4A" w:rsidR="00EA606F" w:rsidRPr="00042720" w:rsidRDefault="00042720" w:rsidP="00042720">
      <w:pPr>
        <w:spacing w:line="480" w:lineRule="auto"/>
        <w:ind w:firstLine="720"/>
        <w:rPr>
          <w:rFonts w:ascii="Times New Roman" w:eastAsia="Gungsuh" w:hAnsi="Times New Roman" w:cs="Times New Roman"/>
          <w:color w:val="333333"/>
        </w:rPr>
      </w:pPr>
      <w:r w:rsidRPr="00042720">
        <w:rPr>
          <w:rFonts w:ascii="Times New Roman" w:eastAsia="Gungsuh" w:hAnsi="Times New Roman" w:cs="Times New Roman"/>
          <w:color w:val="333333"/>
        </w:rPr>
        <w:t>The authors of this study aimed to determine whether early oral feedings in patients with HFNC can be done safely and decrease length of hospital stay (Conway et al., 2021). No assumptions were made. While the data were not statistically significant in decreasing length of stay overall, there was decreased utilization of the pediatric intensive care unit (Conway et al., 2021) . This data connected to the research question by supporting the safety of oral feeding in patients ≤2 years old receiving HFNC. The results for this study may be generalized for patients ≤2 years of age who are admitted into the general pediatric unit and the pediatric intensive care unit needing noninvasive respiratory support via HFNC. The results of this study demonstrate a support for oral feedings which can be incorporated into current practice, so long as monitoring for adverse feeding events is ongoing, and researchers recognize the need for further objective research to solidify its safety. (Conway et al., 2021).</w:t>
      </w:r>
    </w:p>
    <w:p w14:paraId="1B0F6C3E" w14:textId="39B83475" w:rsidR="00042720" w:rsidRPr="00042720" w:rsidRDefault="00042720" w:rsidP="00042720">
      <w:pPr>
        <w:spacing w:line="480" w:lineRule="auto"/>
        <w:ind w:firstLine="720"/>
        <w:rPr>
          <w:rFonts w:ascii="Times New Roman" w:eastAsia="Gungsuh" w:hAnsi="Times New Roman" w:cs="Times New Roman"/>
          <w:color w:val="333333"/>
        </w:rPr>
      </w:pPr>
    </w:p>
    <w:p w14:paraId="6AC12D3D" w14:textId="0FF17AF8" w:rsidR="00042720" w:rsidRPr="00042720" w:rsidRDefault="00042720" w:rsidP="00042720">
      <w:pPr>
        <w:spacing w:line="480" w:lineRule="auto"/>
        <w:ind w:firstLine="720"/>
        <w:rPr>
          <w:rFonts w:ascii="Times New Roman" w:eastAsia="Gungsuh" w:hAnsi="Times New Roman" w:cs="Times New Roman"/>
          <w:color w:val="333333"/>
        </w:rPr>
      </w:pPr>
    </w:p>
    <w:p w14:paraId="3E072E99" w14:textId="34936765" w:rsidR="00042720" w:rsidRPr="00042720" w:rsidRDefault="00042720" w:rsidP="00042720">
      <w:pPr>
        <w:spacing w:line="480" w:lineRule="auto"/>
        <w:ind w:firstLine="720"/>
        <w:rPr>
          <w:rFonts w:ascii="Times New Roman" w:eastAsia="Gungsuh" w:hAnsi="Times New Roman" w:cs="Times New Roman"/>
          <w:color w:val="333333"/>
        </w:rPr>
      </w:pPr>
    </w:p>
    <w:p w14:paraId="15F24FEE" w14:textId="732C0790" w:rsidR="00042720" w:rsidRDefault="00042720" w:rsidP="00042720">
      <w:pPr>
        <w:spacing w:line="480" w:lineRule="auto"/>
        <w:ind w:firstLine="720"/>
        <w:rPr>
          <w:rFonts w:ascii="Times New Roman" w:eastAsia="Gungsuh" w:hAnsi="Times New Roman" w:cs="Times New Roman"/>
          <w:color w:val="333333"/>
        </w:rPr>
      </w:pPr>
    </w:p>
    <w:p w14:paraId="7B2B0C7B" w14:textId="3D8ABD8D" w:rsidR="00042720" w:rsidRDefault="00042720" w:rsidP="00042720">
      <w:pPr>
        <w:spacing w:line="480" w:lineRule="auto"/>
        <w:ind w:firstLine="720"/>
        <w:rPr>
          <w:rFonts w:ascii="Times New Roman" w:eastAsia="Gungsuh" w:hAnsi="Times New Roman" w:cs="Times New Roman"/>
          <w:color w:val="333333"/>
        </w:rPr>
      </w:pPr>
    </w:p>
    <w:p w14:paraId="0E968F3C" w14:textId="4101AF70" w:rsidR="00042720" w:rsidRDefault="00042720" w:rsidP="00042720">
      <w:pPr>
        <w:spacing w:line="480" w:lineRule="auto"/>
        <w:ind w:firstLine="720"/>
        <w:rPr>
          <w:rFonts w:ascii="Times New Roman" w:eastAsia="Gungsuh" w:hAnsi="Times New Roman" w:cs="Times New Roman"/>
          <w:color w:val="333333"/>
        </w:rPr>
      </w:pPr>
    </w:p>
    <w:p w14:paraId="78B42FD4" w14:textId="339BD78B" w:rsidR="00042720" w:rsidRDefault="00042720" w:rsidP="00042720">
      <w:pPr>
        <w:spacing w:line="480" w:lineRule="auto"/>
        <w:ind w:firstLine="720"/>
        <w:rPr>
          <w:rFonts w:ascii="Times New Roman" w:eastAsia="Gungsuh" w:hAnsi="Times New Roman" w:cs="Times New Roman"/>
          <w:color w:val="333333"/>
        </w:rPr>
      </w:pPr>
    </w:p>
    <w:p w14:paraId="7CA8CF53" w14:textId="7326AF91" w:rsidR="00042720" w:rsidRDefault="00042720" w:rsidP="00042720">
      <w:pPr>
        <w:spacing w:line="480" w:lineRule="auto"/>
        <w:ind w:firstLine="720"/>
        <w:rPr>
          <w:rFonts w:ascii="Times New Roman" w:eastAsia="Gungsuh" w:hAnsi="Times New Roman" w:cs="Times New Roman"/>
          <w:color w:val="333333"/>
        </w:rPr>
      </w:pPr>
    </w:p>
    <w:p w14:paraId="5FF98B7E" w14:textId="77777777" w:rsidR="00042720" w:rsidRPr="00042720" w:rsidRDefault="00042720" w:rsidP="00042720">
      <w:pPr>
        <w:spacing w:line="480" w:lineRule="auto"/>
        <w:ind w:firstLine="720"/>
        <w:rPr>
          <w:rFonts w:ascii="Times New Roman" w:eastAsia="Times New Roman" w:hAnsi="Times New Roman" w:cs="Times New Roman"/>
          <w:b/>
          <w:color w:val="333333"/>
        </w:rPr>
      </w:pPr>
    </w:p>
    <w:p w14:paraId="00000030" w14:textId="77777777" w:rsidR="00EA606F" w:rsidRPr="00042720" w:rsidRDefault="00042720" w:rsidP="00042720">
      <w:pPr>
        <w:spacing w:line="480" w:lineRule="auto"/>
        <w:ind w:firstLine="720"/>
        <w:jc w:val="center"/>
        <w:rPr>
          <w:rFonts w:ascii="Times New Roman" w:eastAsia="Times New Roman" w:hAnsi="Times New Roman" w:cs="Times New Roman"/>
          <w:color w:val="333333"/>
        </w:rPr>
      </w:pPr>
      <w:r w:rsidRPr="00042720">
        <w:rPr>
          <w:rFonts w:ascii="Times New Roman" w:eastAsia="Times New Roman" w:hAnsi="Times New Roman" w:cs="Times New Roman"/>
          <w:color w:val="333333"/>
        </w:rPr>
        <w:lastRenderedPageBreak/>
        <w:t>References</w:t>
      </w:r>
    </w:p>
    <w:p w14:paraId="00000031" w14:textId="77777777" w:rsidR="00EA606F" w:rsidRPr="00042720" w:rsidRDefault="00042720" w:rsidP="00042720">
      <w:pPr>
        <w:spacing w:line="480" w:lineRule="auto"/>
        <w:rPr>
          <w:rFonts w:ascii="Times New Roman" w:eastAsia="Times New Roman" w:hAnsi="Times New Roman" w:cs="Times New Roman"/>
          <w:color w:val="333333"/>
          <w:highlight w:val="white"/>
        </w:rPr>
      </w:pPr>
      <w:r w:rsidRPr="00042720">
        <w:rPr>
          <w:rFonts w:ascii="Times New Roman" w:eastAsia="Times New Roman" w:hAnsi="Times New Roman" w:cs="Times New Roman"/>
          <w:color w:val="333333"/>
          <w:highlight w:val="white"/>
        </w:rPr>
        <w:t>Collins, C. S., &amp; Stockton, C. M. (2018). The Central Role of Theory in Qualitative Research.</w:t>
      </w:r>
    </w:p>
    <w:p w14:paraId="00000032" w14:textId="77777777" w:rsidR="00EA606F" w:rsidRPr="00042720" w:rsidRDefault="00042720" w:rsidP="00042720">
      <w:pPr>
        <w:spacing w:line="480" w:lineRule="auto"/>
        <w:ind w:firstLine="720"/>
        <w:rPr>
          <w:rFonts w:ascii="Times New Roman" w:eastAsia="Times New Roman" w:hAnsi="Times New Roman" w:cs="Times New Roman"/>
          <w:color w:val="333333"/>
          <w:highlight w:val="white"/>
        </w:rPr>
      </w:pPr>
      <w:r w:rsidRPr="00042720">
        <w:rPr>
          <w:rFonts w:ascii="Times New Roman" w:eastAsia="Times New Roman" w:hAnsi="Times New Roman" w:cs="Times New Roman"/>
          <w:color w:val="333333"/>
          <w:highlight w:val="white"/>
        </w:rPr>
        <w:t xml:space="preserve"> </w:t>
      </w:r>
      <w:r w:rsidRPr="00042720">
        <w:rPr>
          <w:rFonts w:ascii="Times New Roman" w:eastAsia="Times New Roman" w:hAnsi="Times New Roman" w:cs="Times New Roman"/>
          <w:i/>
          <w:color w:val="333333"/>
          <w:highlight w:val="white"/>
        </w:rPr>
        <w:t>International Journal of Qualitative Methods</w:t>
      </w:r>
      <w:r w:rsidRPr="00042720">
        <w:rPr>
          <w:rFonts w:ascii="Times New Roman" w:eastAsia="Times New Roman" w:hAnsi="Times New Roman" w:cs="Times New Roman"/>
          <w:color w:val="333333"/>
          <w:highlight w:val="white"/>
        </w:rPr>
        <w:t xml:space="preserve">. </w:t>
      </w:r>
      <w:hyperlink r:id="rId6">
        <w:r w:rsidRPr="00042720">
          <w:rPr>
            <w:rFonts w:ascii="Times New Roman" w:eastAsia="Times New Roman" w:hAnsi="Times New Roman" w:cs="Times New Roman"/>
            <w:color w:val="333333"/>
            <w:highlight w:val="white"/>
          </w:rPr>
          <w:t>https://doi.org/10.1177/1609406918797475</w:t>
        </w:r>
      </w:hyperlink>
    </w:p>
    <w:p w14:paraId="00000033" w14:textId="77777777" w:rsidR="00EA606F" w:rsidRPr="00042720" w:rsidRDefault="00042720" w:rsidP="00042720">
      <w:pPr>
        <w:spacing w:line="480" w:lineRule="auto"/>
        <w:rPr>
          <w:rFonts w:ascii="Times New Roman" w:eastAsia="Times New Roman" w:hAnsi="Times New Roman" w:cs="Times New Roman"/>
          <w:color w:val="333333"/>
          <w:highlight w:val="white"/>
        </w:rPr>
      </w:pPr>
      <w:r w:rsidRPr="00042720">
        <w:rPr>
          <w:rFonts w:ascii="Times New Roman" w:eastAsia="Times New Roman" w:hAnsi="Times New Roman" w:cs="Times New Roman"/>
          <w:color w:val="333333"/>
          <w:highlight w:val="white"/>
        </w:rPr>
        <w:t xml:space="preserve">Conway T P, Halaby C, Akerman M, et al. (June 15, 2021) The Use of High-Flow Nasal Cannula and the </w:t>
      </w:r>
    </w:p>
    <w:p w14:paraId="00000034" w14:textId="77777777" w:rsidR="00EA606F" w:rsidRPr="00042720" w:rsidRDefault="00042720" w:rsidP="00042720">
      <w:pPr>
        <w:spacing w:line="480" w:lineRule="auto"/>
        <w:ind w:left="720"/>
        <w:rPr>
          <w:rFonts w:ascii="Times New Roman" w:eastAsia="Times New Roman" w:hAnsi="Times New Roman" w:cs="Times New Roman"/>
          <w:color w:val="333333"/>
          <w:highlight w:val="white"/>
        </w:rPr>
      </w:pPr>
      <w:r w:rsidRPr="00042720">
        <w:rPr>
          <w:rFonts w:ascii="Times New Roman" w:eastAsia="Times New Roman" w:hAnsi="Times New Roman" w:cs="Times New Roman"/>
          <w:color w:val="333333"/>
          <w:highlight w:val="white"/>
        </w:rPr>
        <w:t>Timing of Safe Feeding in Children with Bronchiolitis.</w:t>
      </w:r>
      <w:r w:rsidRPr="00042720">
        <w:rPr>
          <w:rFonts w:ascii="Times New Roman" w:eastAsia="Times New Roman" w:hAnsi="Times New Roman" w:cs="Times New Roman"/>
          <w:i/>
          <w:color w:val="333333"/>
          <w:highlight w:val="white"/>
        </w:rPr>
        <w:t xml:space="preserve"> </w:t>
      </w:r>
      <w:proofErr w:type="spellStart"/>
      <w:r w:rsidRPr="00042720">
        <w:rPr>
          <w:rFonts w:ascii="Times New Roman" w:eastAsia="Times New Roman" w:hAnsi="Times New Roman" w:cs="Times New Roman"/>
          <w:i/>
          <w:color w:val="333333"/>
          <w:highlight w:val="white"/>
        </w:rPr>
        <w:t>Cureus</w:t>
      </w:r>
      <w:proofErr w:type="spellEnd"/>
      <w:r w:rsidRPr="00042720">
        <w:rPr>
          <w:rFonts w:ascii="Times New Roman" w:eastAsia="Times New Roman" w:hAnsi="Times New Roman" w:cs="Times New Roman"/>
          <w:i/>
          <w:color w:val="333333"/>
          <w:highlight w:val="white"/>
        </w:rPr>
        <w:t xml:space="preserve"> 13</w:t>
      </w:r>
      <w:r w:rsidRPr="00042720">
        <w:rPr>
          <w:rFonts w:ascii="Times New Roman" w:eastAsia="Times New Roman" w:hAnsi="Times New Roman" w:cs="Times New Roman"/>
          <w:color w:val="333333"/>
          <w:highlight w:val="white"/>
        </w:rPr>
        <w:t>(6): e15665. doi:10.7759/cureus.15665</w:t>
      </w:r>
    </w:p>
    <w:p w14:paraId="00000036" w14:textId="19409769" w:rsidR="00EA606F" w:rsidRPr="00042720" w:rsidRDefault="00042720" w:rsidP="00042720">
      <w:pPr>
        <w:spacing w:line="480" w:lineRule="auto"/>
        <w:rPr>
          <w:rFonts w:ascii="Times New Roman" w:eastAsia="Times New Roman" w:hAnsi="Times New Roman" w:cs="Times New Roman"/>
          <w:color w:val="333333"/>
          <w:highlight w:val="white"/>
        </w:rPr>
      </w:pPr>
      <w:r w:rsidRPr="00042720">
        <w:rPr>
          <w:rFonts w:ascii="Times New Roman" w:eastAsia="Times New Roman" w:hAnsi="Times New Roman" w:cs="Times New Roman"/>
          <w:color w:val="333333"/>
          <w:highlight w:val="white"/>
        </w:rPr>
        <w:t xml:space="preserve">Penn State University Libraries (2021) </w:t>
      </w:r>
      <w:r w:rsidRPr="00042720">
        <w:rPr>
          <w:rFonts w:ascii="Times New Roman" w:eastAsia="Times New Roman" w:hAnsi="Times New Roman" w:cs="Times New Roman"/>
          <w:i/>
          <w:color w:val="333333"/>
          <w:highlight w:val="white"/>
        </w:rPr>
        <w:t xml:space="preserve">What is empirical research? </w:t>
      </w:r>
      <w:r w:rsidRPr="00042720">
        <w:rPr>
          <w:rFonts w:ascii="Times New Roman" w:eastAsia="Times New Roman" w:hAnsi="Times New Roman" w:cs="Times New Roman"/>
          <w:color w:val="333333"/>
          <w:highlight w:val="white"/>
        </w:rPr>
        <w:t xml:space="preserve">Empirical research in the social </w:t>
      </w:r>
    </w:p>
    <w:p w14:paraId="5DFD4E97" w14:textId="3E0072EB" w:rsidR="00042720" w:rsidRPr="00042720" w:rsidRDefault="00042720" w:rsidP="00042720">
      <w:pPr>
        <w:spacing w:line="480" w:lineRule="auto"/>
        <w:rPr>
          <w:rFonts w:ascii="Times New Roman" w:eastAsia="Times New Roman" w:hAnsi="Times New Roman" w:cs="Times New Roman"/>
          <w:color w:val="333333"/>
          <w:highlight w:val="white"/>
        </w:rPr>
      </w:pPr>
      <w:r w:rsidRPr="00042720">
        <w:rPr>
          <w:rFonts w:ascii="Times New Roman" w:eastAsia="Times New Roman" w:hAnsi="Times New Roman" w:cs="Times New Roman"/>
          <w:color w:val="333333"/>
          <w:highlight w:val="white"/>
        </w:rPr>
        <w:tab/>
        <w:t>sciences and education.</w:t>
      </w:r>
      <w:hyperlink r:id="rId7">
        <w:r w:rsidRPr="00042720">
          <w:rPr>
            <w:rFonts w:ascii="Times New Roman" w:eastAsia="Times New Roman" w:hAnsi="Times New Roman" w:cs="Times New Roman"/>
            <w:color w:val="333333"/>
            <w:highlight w:val="white"/>
          </w:rPr>
          <w:t xml:space="preserve"> https://guides.libraries.psu.edu/emp/whatis</w:t>
        </w:r>
      </w:hyperlink>
    </w:p>
    <w:p w14:paraId="00000037" w14:textId="77777777" w:rsidR="00EA606F" w:rsidRPr="00042720" w:rsidRDefault="00042720" w:rsidP="00042720">
      <w:pPr>
        <w:spacing w:line="480" w:lineRule="auto"/>
        <w:rPr>
          <w:rFonts w:ascii="Times New Roman" w:eastAsia="Times New Roman" w:hAnsi="Times New Roman" w:cs="Times New Roman"/>
          <w:color w:val="333333"/>
          <w:highlight w:val="white"/>
        </w:rPr>
      </w:pPr>
      <w:proofErr w:type="spellStart"/>
      <w:r w:rsidRPr="00042720">
        <w:rPr>
          <w:rFonts w:ascii="Times New Roman" w:eastAsia="Times New Roman" w:hAnsi="Times New Roman" w:cs="Times New Roman"/>
          <w:color w:val="333333"/>
          <w:highlight w:val="white"/>
        </w:rPr>
        <w:t>Piedimonte</w:t>
      </w:r>
      <w:proofErr w:type="spellEnd"/>
      <w:r w:rsidRPr="00042720">
        <w:rPr>
          <w:rFonts w:ascii="Times New Roman" w:eastAsia="Times New Roman" w:hAnsi="Times New Roman" w:cs="Times New Roman"/>
          <w:color w:val="333333"/>
          <w:highlight w:val="white"/>
        </w:rPr>
        <w:t xml:space="preserve">, G., &amp; Perez, M. K. (2014). Respiratory syncytial virus infection and bronchiolitis.  </w:t>
      </w:r>
    </w:p>
    <w:p w14:paraId="00000038" w14:textId="77777777" w:rsidR="00EA606F" w:rsidRPr="00042720" w:rsidRDefault="00042720" w:rsidP="00042720">
      <w:pPr>
        <w:spacing w:line="480" w:lineRule="auto"/>
        <w:ind w:firstLine="720"/>
        <w:rPr>
          <w:rFonts w:ascii="Times New Roman" w:eastAsia="Times New Roman" w:hAnsi="Times New Roman" w:cs="Times New Roman"/>
          <w:color w:val="333333"/>
          <w:highlight w:val="white"/>
        </w:rPr>
      </w:pPr>
      <w:r w:rsidRPr="00042720">
        <w:rPr>
          <w:rFonts w:ascii="Times New Roman" w:eastAsia="Times New Roman" w:hAnsi="Times New Roman" w:cs="Times New Roman"/>
          <w:i/>
          <w:color w:val="333333"/>
          <w:highlight w:val="white"/>
        </w:rPr>
        <w:t>Pediatrics in review</w:t>
      </w:r>
      <w:r w:rsidRPr="00042720">
        <w:rPr>
          <w:rFonts w:ascii="Times New Roman" w:eastAsia="Times New Roman" w:hAnsi="Times New Roman" w:cs="Times New Roman"/>
          <w:color w:val="333333"/>
          <w:highlight w:val="white"/>
        </w:rPr>
        <w:t>,</w:t>
      </w:r>
      <w:r w:rsidRPr="00042720">
        <w:rPr>
          <w:rFonts w:ascii="Times New Roman" w:eastAsia="Times New Roman" w:hAnsi="Times New Roman" w:cs="Times New Roman"/>
          <w:i/>
          <w:color w:val="333333"/>
          <w:highlight w:val="white"/>
        </w:rPr>
        <w:t>35</w:t>
      </w:r>
      <w:r w:rsidRPr="00042720">
        <w:rPr>
          <w:rFonts w:ascii="Times New Roman" w:eastAsia="Times New Roman" w:hAnsi="Times New Roman" w:cs="Times New Roman"/>
          <w:color w:val="333333"/>
          <w:highlight w:val="white"/>
        </w:rPr>
        <w:t>(12), 519–530. https://doi.org/10.1542/pir.35-12-519</w:t>
      </w:r>
    </w:p>
    <w:p w14:paraId="00000039" w14:textId="77777777" w:rsidR="00EA606F" w:rsidRPr="00042720" w:rsidRDefault="00042720" w:rsidP="00042720">
      <w:pPr>
        <w:spacing w:line="480" w:lineRule="auto"/>
        <w:rPr>
          <w:rFonts w:ascii="Times New Roman" w:eastAsia="Times New Roman" w:hAnsi="Times New Roman" w:cs="Times New Roman"/>
          <w:color w:val="333333"/>
          <w:highlight w:val="white"/>
        </w:rPr>
      </w:pPr>
      <w:r w:rsidRPr="00042720">
        <w:rPr>
          <w:rFonts w:ascii="Times New Roman" w:eastAsia="Times New Roman" w:hAnsi="Times New Roman" w:cs="Times New Roman"/>
          <w:color w:val="333333"/>
          <w:highlight w:val="white"/>
        </w:rPr>
        <w:t xml:space="preserve">Tappen, R. (2016) </w:t>
      </w:r>
      <w:r w:rsidRPr="00042720">
        <w:rPr>
          <w:rFonts w:ascii="Times New Roman" w:eastAsia="Times New Roman" w:hAnsi="Times New Roman" w:cs="Times New Roman"/>
          <w:i/>
          <w:color w:val="333333"/>
          <w:highlight w:val="white"/>
        </w:rPr>
        <w:t xml:space="preserve">Advanced nursing research. </w:t>
      </w:r>
      <w:r w:rsidRPr="00042720">
        <w:rPr>
          <w:rFonts w:ascii="Times New Roman" w:eastAsia="Times New Roman" w:hAnsi="Times New Roman" w:cs="Times New Roman"/>
          <w:color w:val="333333"/>
          <w:highlight w:val="white"/>
        </w:rPr>
        <w:t xml:space="preserve">Jones &amp; Bartlett Learning, LLC. </w:t>
      </w:r>
    </w:p>
    <w:p w14:paraId="0000003A" w14:textId="77777777" w:rsidR="00EA606F" w:rsidRPr="00042720" w:rsidRDefault="00042720" w:rsidP="00042720">
      <w:pPr>
        <w:spacing w:line="480" w:lineRule="auto"/>
        <w:rPr>
          <w:rFonts w:ascii="Times New Roman" w:eastAsia="Times New Roman" w:hAnsi="Times New Roman" w:cs="Times New Roman"/>
          <w:i/>
          <w:color w:val="333333"/>
          <w:highlight w:val="white"/>
        </w:rPr>
      </w:pPr>
      <w:r w:rsidRPr="00042720">
        <w:rPr>
          <w:rFonts w:ascii="Times New Roman" w:eastAsia="Times New Roman" w:hAnsi="Times New Roman" w:cs="Times New Roman"/>
          <w:color w:val="333333"/>
          <w:highlight w:val="white"/>
        </w:rPr>
        <w:t xml:space="preserve">U.S. Department of Health and Human Services. (2019, January 21). </w:t>
      </w:r>
      <w:r w:rsidRPr="00042720">
        <w:rPr>
          <w:rFonts w:ascii="Times New Roman" w:eastAsia="Times New Roman" w:hAnsi="Times New Roman" w:cs="Times New Roman"/>
          <w:i/>
          <w:color w:val="333333"/>
          <w:highlight w:val="white"/>
        </w:rPr>
        <w:t xml:space="preserve">Basic HHS Policy for          </w:t>
      </w:r>
    </w:p>
    <w:p w14:paraId="0000003B" w14:textId="77777777" w:rsidR="00EA606F" w:rsidRPr="00042720" w:rsidRDefault="00042720" w:rsidP="00042720">
      <w:pPr>
        <w:spacing w:line="480" w:lineRule="auto"/>
        <w:ind w:left="720"/>
        <w:rPr>
          <w:rFonts w:ascii="Times New Roman" w:eastAsia="Times New Roman" w:hAnsi="Times New Roman" w:cs="Times New Roman"/>
          <w:color w:val="333333"/>
          <w:highlight w:val="white"/>
        </w:rPr>
      </w:pPr>
      <w:r w:rsidRPr="00042720">
        <w:rPr>
          <w:rFonts w:ascii="Times New Roman" w:eastAsia="Times New Roman" w:hAnsi="Times New Roman" w:cs="Times New Roman"/>
          <w:i/>
          <w:color w:val="333333"/>
          <w:highlight w:val="white"/>
        </w:rPr>
        <w:t>Protection of Human Research Subjects</w:t>
      </w:r>
      <w:r w:rsidRPr="00042720">
        <w:rPr>
          <w:rFonts w:ascii="Times New Roman" w:eastAsia="Times New Roman" w:hAnsi="Times New Roman" w:cs="Times New Roman"/>
          <w:color w:val="333333"/>
          <w:highlight w:val="white"/>
        </w:rPr>
        <w:t xml:space="preserve">. Office for Human Research Protections. Retrieved May 26, 2022, from </w:t>
      </w:r>
      <w:hyperlink r:id="rId8">
        <w:r w:rsidRPr="00042720">
          <w:rPr>
            <w:rFonts w:ascii="Times New Roman" w:eastAsia="Times New Roman" w:hAnsi="Times New Roman" w:cs="Times New Roman"/>
            <w:color w:val="333333"/>
            <w:highlight w:val="white"/>
          </w:rPr>
          <w:t>hrp/regulations-and-</w:t>
        </w:r>
      </w:hyperlink>
      <w:r w:rsidRPr="00042720">
        <w:rPr>
          <w:rFonts w:ascii="Times New Roman" w:eastAsia="Times New Roman" w:hAnsi="Times New Roman" w:cs="Times New Roman"/>
          <w:color w:val="333333"/>
          <w:highlight w:val="white"/>
        </w:rPr>
        <w:t xml:space="preserve">phttps://www.hhs.gov/oolicy/regulations/45-cfr-46/revised-common-rule-regulatory-text/index.html </w:t>
      </w:r>
    </w:p>
    <w:p w14:paraId="0000003C" w14:textId="77777777" w:rsidR="00EA606F" w:rsidRPr="00042720" w:rsidRDefault="00EA606F" w:rsidP="00042720">
      <w:pPr>
        <w:spacing w:line="480" w:lineRule="auto"/>
        <w:rPr>
          <w:rFonts w:ascii="Times New Roman" w:eastAsia="Times New Roman" w:hAnsi="Times New Roman" w:cs="Times New Roman"/>
          <w:color w:val="333333"/>
        </w:rPr>
      </w:pPr>
    </w:p>
    <w:sectPr w:rsidR="00EA606F" w:rsidRPr="00042720">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5190E5" w14:textId="77777777" w:rsidR="003A3800" w:rsidRDefault="00042720">
      <w:pPr>
        <w:spacing w:line="240" w:lineRule="auto"/>
      </w:pPr>
      <w:r>
        <w:separator/>
      </w:r>
    </w:p>
  </w:endnote>
  <w:endnote w:type="continuationSeparator" w:id="0">
    <w:p w14:paraId="0A7F716F" w14:textId="77777777" w:rsidR="003A3800" w:rsidRDefault="0004272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ngsuh">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EC7978" w14:textId="77777777" w:rsidR="003A3800" w:rsidRDefault="00042720">
      <w:pPr>
        <w:spacing w:line="240" w:lineRule="auto"/>
      </w:pPr>
      <w:r>
        <w:separator/>
      </w:r>
    </w:p>
  </w:footnote>
  <w:footnote w:type="continuationSeparator" w:id="0">
    <w:p w14:paraId="3DA3B3EF" w14:textId="77777777" w:rsidR="003A3800" w:rsidRDefault="0004272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D" w14:textId="2FA3D34D" w:rsidR="00EA606F" w:rsidRDefault="00042720">
    <w:pPr>
      <w:jc w:val="right"/>
    </w:pPr>
    <w:r>
      <w:fldChar w:fldCharType="begin"/>
    </w:r>
    <w:r>
      <w:instrText>PAGE</w:instrText>
    </w:r>
    <w:r>
      <w:fldChar w:fldCharType="separate"/>
    </w:r>
    <w:r>
      <w:rPr>
        <w:noProof/>
      </w:rPr>
      <w:t>1</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606F"/>
    <w:rsid w:val="00042720"/>
    <w:rsid w:val="003A3800"/>
    <w:rsid w:val="00603CE5"/>
    <w:rsid w:val="00EA60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03687"/>
  <w15:docId w15:val="{A00BB5A5-08C3-4713-ACDE-F508B0A16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hhs.gov/ohrp/regulations-and-" TargetMode="External"/><Relationship Id="rId3" Type="http://schemas.openxmlformats.org/officeDocument/2006/relationships/webSettings" Target="webSettings.xml"/><Relationship Id="rId7" Type="http://schemas.openxmlformats.org/officeDocument/2006/relationships/hyperlink" Target="https://guides.libraries.psu.edu/emp/whati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177/1609406918797475"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1869</Words>
  <Characters>10656</Characters>
  <Application>Microsoft Office Word</Application>
  <DocSecurity>0</DocSecurity>
  <Lines>88</Lines>
  <Paragraphs>24</Paragraphs>
  <ScaleCrop>false</ScaleCrop>
  <Company/>
  <LinksUpToDate>false</LinksUpToDate>
  <CharactersWithSpaces>12501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Malove</dc:creator>
  <cp:lastModifiedBy>Renee Malove</cp:lastModifiedBy>
  <cp:revision>3</cp:revision>
  <dcterms:created xsi:type="dcterms:W3CDTF">2022-05-30T03:28:00Z</dcterms:created>
  <dcterms:modified xsi:type="dcterms:W3CDTF">2022-05-30T03:30:00Z</dcterms:modified>
</cp:coreProperties>
</file>